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50B" w:rsidRDefault="00DA65BB" w:rsidP="000C3BA4">
      <w:pPr>
        <w:pStyle w:val="BulletDouble"/>
        <w:numPr>
          <w:ilvl w:val="0"/>
          <w:numId w:val="0"/>
        </w:numPr>
        <w:ind w:left="1134"/>
        <w:rPr>
          <w:color w:val="2E74B5"/>
          <w:lang w:val="en-US"/>
        </w:rPr>
      </w:pPr>
      <w:bookmarkStart w:id="0" w:name="_GoBack"/>
      <w:bookmarkEnd w:id="0"/>
      <w:r>
        <w:rPr>
          <w:noProof/>
          <w:lang w:val="en-US" w:eastAsia="en-US"/>
        </w:rPr>
        <w:drawing>
          <wp:anchor distT="0" distB="0" distL="114300" distR="114300" simplePos="0" relativeHeight="251656704" behindDoc="0" locked="0" layoutInCell="1" allowOverlap="0">
            <wp:simplePos x="0" y="0"/>
            <wp:positionH relativeFrom="column">
              <wp:posOffset>1123315</wp:posOffset>
            </wp:positionH>
            <wp:positionV relativeFrom="paragraph">
              <wp:posOffset>-1967865</wp:posOffset>
            </wp:positionV>
            <wp:extent cx="3110230" cy="3110230"/>
            <wp:effectExtent l="0" t="0" r="0" b="0"/>
            <wp:wrapNone/>
            <wp:docPr id="3" name="Picture 3" descr="IMG-20160716-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60716-WA00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0230" cy="3110230"/>
                    </a:xfrm>
                    <a:prstGeom prst="rect">
                      <a:avLst/>
                    </a:prstGeom>
                    <a:noFill/>
                  </pic:spPr>
                </pic:pic>
              </a:graphicData>
            </a:graphic>
            <wp14:sizeRelH relativeFrom="page">
              <wp14:pctWidth>0</wp14:pctWidth>
            </wp14:sizeRelH>
            <wp14:sizeRelV relativeFrom="page">
              <wp14:pctHeight>0</wp14:pctHeight>
            </wp14:sizeRelV>
          </wp:anchor>
        </w:drawing>
      </w:r>
    </w:p>
    <w:p w:rsidR="00F1050B" w:rsidRDefault="00F1050B" w:rsidP="00F1050B">
      <w:pPr>
        <w:pStyle w:val="Leader"/>
        <w:jc w:val="left"/>
        <w:rPr>
          <w:color w:val="2E74B5"/>
          <w:lang w:val="en-US"/>
        </w:rPr>
      </w:pPr>
    </w:p>
    <w:p w:rsidR="00F1050B" w:rsidRDefault="00F1050B" w:rsidP="00F1050B">
      <w:pPr>
        <w:pStyle w:val="Leader"/>
        <w:jc w:val="left"/>
        <w:rPr>
          <w:color w:val="2E74B5"/>
          <w:lang w:val="en-US"/>
        </w:rPr>
      </w:pPr>
    </w:p>
    <w:p w:rsidR="008A771A" w:rsidRDefault="008A771A" w:rsidP="008A771A">
      <w:pPr>
        <w:pStyle w:val="Leader"/>
        <w:spacing w:line="360" w:lineRule="auto"/>
        <w:jc w:val="right"/>
        <w:rPr>
          <w:rFonts w:ascii="Lucida Bright" w:hAnsi="Lucida Bright"/>
          <w:color w:val="2E74B5"/>
        </w:rPr>
      </w:pPr>
    </w:p>
    <w:p w:rsidR="008A771A" w:rsidRDefault="008A771A" w:rsidP="008A771A">
      <w:pPr>
        <w:pStyle w:val="Leader"/>
        <w:spacing w:line="360" w:lineRule="auto"/>
        <w:jc w:val="right"/>
        <w:rPr>
          <w:rFonts w:ascii="Lucida Bright" w:hAnsi="Lucida Bright"/>
          <w:color w:val="2E74B5"/>
          <w:lang w:val="en-US"/>
        </w:rPr>
      </w:pPr>
      <w:r>
        <w:rPr>
          <w:rFonts w:ascii="Lucida Bright" w:hAnsi="Lucida Bright"/>
          <w:color w:val="2E74B5"/>
        </w:rPr>
        <w:t>Medium Term Expenditure Framework</w:t>
      </w:r>
      <w:r w:rsidR="00E73B6E">
        <w:rPr>
          <w:rFonts w:ascii="Lucida Bright" w:hAnsi="Lucida Bright"/>
          <w:color w:val="2E74B5"/>
          <w:lang w:val="en-US"/>
        </w:rPr>
        <w:t>:</w:t>
      </w:r>
    </w:p>
    <w:p w:rsidR="00A76322" w:rsidRPr="00A00D4F" w:rsidRDefault="00F1050B" w:rsidP="008A771A">
      <w:pPr>
        <w:pStyle w:val="Leader"/>
        <w:spacing w:line="360" w:lineRule="auto"/>
        <w:jc w:val="right"/>
        <w:rPr>
          <w:rFonts w:ascii="Lucida Bright" w:hAnsi="Lucida Bright"/>
          <w:color w:val="2E74B5"/>
        </w:rPr>
      </w:pPr>
      <w:r w:rsidRPr="00A00D4F">
        <w:rPr>
          <w:rFonts w:ascii="Lucida Bright" w:hAnsi="Lucida Bright"/>
          <w:color w:val="2E74B5"/>
        </w:rPr>
        <w:t>Economic</w:t>
      </w:r>
      <w:r w:rsidR="008A771A">
        <w:rPr>
          <w:rFonts w:ascii="Lucida Bright" w:hAnsi="Lucida Bright"/>
          <w:color w:val="2E74B5"/>
        </w:rPr>
        <w:t xml:space="preserve"> </w:t>
      </w:r>
      <w:r w:rsidR="00A76322" w:rsidRPr="00A00D4F">
        <w:rPr>
          <w:rFonts w:ascii="Lucida Bright" w:hAnsi="Lucida Bright"/>
          <w:color w:val="2E74B5"/>
        </w:rPr>
        <w:t>and Fiscal Update (EFU),</w:t>
      </w:r>
    </w:p>
    <w:p w:rsidR="00A76322" w:rsidRPr="00A00D4F" w:rsidRDefault="00A76322" w:rsidP="008A771A">
      <w:pPr>
        <w:pStyle w:val="StyleLeaderLimeRight"/>
        <w:spacing w:line="360" w:lineRule="auto"/>
        <w:ind w:left="1440" w:firstLine="720"/>
        <w:rPr>
          <w:rFonts w:ascii="Lucida Bright" w:hAnsi="Lucida Bright"/>
          <w:color w:val="2E74B5"/>
        </w:rPr>
      </w:pPr>
      <w:r w:rsidRPr="00A00D4F">
        <w:rPr>
          <w:rFonts w:ascii="Lucida Bright" w:hAnsi="Lucida Bright"/>
          <w:color w:val="2E74B5"/>
        </w:rPr>
        <w:t>Fiscal Strategy (FS) and</w:t>
      </w:r>
    </w:p>
    <w:p w:rsidR="00A76322" w:rsidRPr="00A36BDE" w:rsidRDefault="00A76322" w:rsidP="008A771A">
      <w:pPr>
        <w:pStyle w:val="StyleLeaderLimeRight"/>
        <w:spacing w:line="360" w:lineRule="auto"/>
        <w:rPr>
          <w:lang w:val="en-US"/>
        </w:rPr>
      </w:pPr>
      <w:r w:rsidRPr="00A00D4F">
        <w:rPr>
          <w:rFonts w:ascii="Lucida Bright" w:hAnsi="Lucida Bright"/>
          <w:color w:val="2E74B5"/>
        </w:rPr>
        <w:t>Budget Policy Statement (BPS)</w:t>
      </w:r>
    </w:p>
    <w:p w:rsidR="00A76322" w:rsidRDefault="00A76322" w:rsidP="00A76322">
      <w:pPr>
        <w:pStyle w:val="Leader"/>
        <w:jc w:val="right"/>
      </w:pPr>
    </w:p>
    <w:p w:rsidR="00A76322" w:rsidRPr="00B46960" w:rsidRDefault="00E84E56" w:rsidP="00A76322">
      <w:pPr>
        <w:pStyle w:val="Leader"/>
        <w:jc w:val="right"/>
        <w:rPr>
          <w:lang w:val="en-US"/>
        </w:rPr>
      </w:pPr>
      <w:r>
        <w:rPr>
          <w:lang w:val="en-US"/>
        </w:rPr>
        <w:t>June</w:t>
      </w:r>
      <w:r w:rsidR="00882AE5">
        <w:rPr>
          <w:lang w:val="en-US"/>
        </w:rPr>
        <w:t>,</w:t>
      </w:r>
      <w:r>
        <w:t xml:space="preserve"> 2021</w:t>
      </w:r>
    </w:p>
    <w:p w:rsidR="00A76322" w:rsidRPr="00B46960" w:rsidRDefault="00E84E56" w:rsidP="00A76322">
      <w:pPr>
        <w:pStyle w:val="Leader"/>
        <w:jc w:val="right"/>
        <w:rPr>
          <w:lang w:val="en-US"/>
        </w:rPr>
      </w:pPr>
      <w:r>
        <w:t>To Cover Period: 2022</w:t>
      </w:r>
      <w:r w:rsidR="00B46960">
        <w:t>-20</w:t>
      </w:r>
      <w:r>
        <w:rPr>
          <w:lang w:val="en-US"/>
        </w:rPr>
        <w:t>24</w:t>
      </w:r>
    </w:p>
    <w:p w:rsidR="00A76322" w:rsidRDefault="00A76322" w:rsidP="00A76322">
      <w:pPr>
        <w:pStyle w:val="Leader"/>
      </w:pPr>
    </w:p>
    <w:p w:rsidR="00A76322" w:rsidRDefault="00A76322" w:rsidP="00A76322">
      <w:pPr>
        <w:pStyle w:val="Leader"/>
        <w:sectPr w:rsidR="00A76322" w:rsidSect="00A76322">
          <w:headerReference w:type="even" r:id="rId9"/>
          <w:headerReference w:type="default" r:id="rId10"/>
          <w:footerReference w:type="even" r:id="rId11"/>
          <w:footerReference w:type="default" r:id="rId12"/>
          <w:headerReference w:type="first" r:id="rId13"/>
          <w:footerReference w:type="first" r:id="rId14"/>
          <w:pgSz w:w="11906" w:h="16838" w:code="9"/>
          <w:pgMar w:top="1440" w:right="1797" w:bottom="1440" w:left="1797" w:header="709" w:footer="709" w:gutter="0"/>
          <w:pgNumType w:fmt="lowerRoman"/>
          <w:cols w:space="708"/>
          <w:vAlign w:val="center"/>
          <w:docGrid w:linePitch="360"/>
        </w:sectPr>
      </w:pPr>
    </w:p>
    <w:p w:rsidR="00A76322" w:rsidRDefault="00A76322" w:rsidP="00A76322">
      <w:pPr>
        <w:pStyle w:val="TOCHeader"/>
      </w:pPr>
      <w:r>
        <w:lastRenderedPageBreak/>
        <w:t>Document Control</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5760"/>
      </w:tblGrid>
      <w:tr w:rsidR="00A76322" w:rsidTr="00A76322">
        <w:tc>
          <w:tcPr>
            <w:tcW w:w="2988" w:type="dxa"/>
            <w:shd w:val="clear" w:color="auto" w:fill="auto"/>
          </w:tcPr>
          <w:p w:rsidR="00A76322" w:rsidRDefault="00A76322" w:rsidP="00A76322">
            <w:r>
              <w:t>Document Version Number:</w:t>
            </w:r>
          </w:p>
        </w:tc>
        <w:tc>
          <w:tcPr>
            <w:tcW w:w="5760" w:type="dxa"/>
            <w:shd w:val="clear" w:color="auto" w:fill="auto"/>
          </w:tcPr>
          <w:p w:rsidR="00A76322" w:rsidRDefault="00DE7B46" w:rsidP="00A76322">
            <w:r>
              <w:t>V</w:t>
            </w:r>
            <w:r w:rsidR="00330C7E">
              <w:t>1</w:t>
            </w:r>
          </w:p>
        </w:tc>
      </w:tr>
      <w:tr w:rsidR="00A76322" w:rsidTr="00A76322">
        <w:tc>
          <w:tcPr>
            <w:tcW w:w="2988" w:type="dxa"/>
            <w:shd w:val="clear" w:color="auto" w:fill="auto"/>
          </w:tcPr>
          <w:p w:rsidR="00A76322" w:rsidRDefault="00A76322" w:rsidP="00A76322">
            <w:r>
              <w:t>Document Prepared By:</w:t>
            </w:r>
          </w:p>
        </w:tc>
        <w:tc>
          <w:tcPr>
            <w:tcW w:w="5760" w:type="dxa"/>
            <w:shd w:val="clear" w:color="auto" w:fill="auto"/>
          </w:tcPr>
          <w:p w:rsidR="00A76322" w:rsidRDefault="00DE7B46" w:rsidP="00DE7B46">
            <w:r>
              <w:t>TWG/Ministry of</w:t>
            </w:r>
            <w:r w:rsidR="00E84E56">
              <w:t xml:space="preserve"> Fin,</w:t>
            </w:r>
            <w:r>
              <w:t xml:space="preserve"> Budget &amp; </w:t>
            </w:r>
            <w:r w:rsidR="00E84E56">
              <w:t xml:space="preserve">Econ. </w:t>
            </w:r>
            <w:r>
              <w:t>Planning, Lokoja</w:t>
            </w:r>
          </w:p>
        </w:tc>
      </w:tr>
      <w:tr w:rsidR="00A76322" w:rsidTr="00A76322">
        <w:tc>
          <w:tcPr>
            <w:tcW w:w="2988" w:type="dxa"/>
            <w:shd w:val="clear" w:color="auto" w:fill="auto"/>
          </w:tcPr>
          <w:p w:rsidR="00A76322" w:rsidRDefault="00A76322" w:rsidP="00A76322">
            <w:r>
              <w:t>Document Approved By:</w:t>
            </w:r>
          </w:p>
        </w:tc>
        <w:tc>
          <w:tcPr>
            <w:tcW w:w="5760" w:type="dxa"/>
            <w:shd w:val="clear" w:color="auto" w:fill="auto"/>
          </w:tcPr>
          <w:p w:rsidR="00A76322" w:rsidRDefault="00DE7B46" w:rsidP="00A76322">
            <w:r>
              <w:t>Yet</w:t>
            </w:r>
          </w:p>
        </w:tc>
      </w:tr>
      <w:tr w:rsidR="00A76322" w:rsidTr="00A76322">
        <w:tc>
          <w:tcPr>
            <w:tcW w:w="2988" w:type="dxa"/>
            <w:shd w:val="clear" w:color="auto" w:fill="auto"/>
          </w:tcPr>
          <w:p w:rsidR="00A76322" w:rsidRDefault="00A76322" w:rsidP="00A76322">
            <w:r>
              <w:t>Date of Approval:</w:t>
            </w:r>
          </w:p>
        </w:tc>
        <w:tc>
          <w:tcPr>
            <w:tcW w:w="5760" w:type="dxa"/>
            <w:shd w:val="clear" w:color="auto" w:fill="auto"/>
          </w:tcPr>
          <w:p w:rsidR="00A76322" w:rsidRDefault="00DE7B46" w:rsidP="00A76322">
            <w:r>
              <w:t>Yet</w:t>
            </w:r>
          </w:p>
        </w:tc>
      </w:tr>
      <w:tr w:rsidR="00A76322" w:rsidTr="00A76322">
        <w:tc>
          <w:tcPr>
            <w:tcW w:w="2988" w:type="dxa"/>
            <w:shd w:val="clear" w:color="auto" w:fill="auto"/>
          </w:tcPr>
          <w:p w:rsidR="00A76322" w:rsidRDefault="00A76322" w:rsidP="00A76322">
            <w:r>
              <w:t>Date of Publication:</w:t>
            </w:r>
          </w:p>
        </w:tc>
        <w:tc>
          <w:tcPr>
            <w:tcW w:w="5760" w:type="dxa"/>
            <w:shd w:val="clear" w:color="auto" w:fill="auto"/>
          </w:tcPr>
          <w:p w:rsidR="00A76322" w:rsidRDefault="00DE7B46" w:rsidP="00A76322">
            <w:r>
              <w:t>Yet</w:t>
            </w:r>
          </w:p>
        </w:tc>
      </w:tr>
      <w:tr w:rsidR="00A76322" w:rsidTr="00A76322">
        <w:tc>
          <w:tcPr>
            <w:tcW w:w="2988" w:type="dxa"/>
            <w:shd w:val="clear" w:color="auto" w:fill="auto"/>
          </w:tcPr>
          <w:p w:rsidR="00A76322" w:rsidRDefault="00A76322" w:rsidP="00A76322">
            <w:r>
              <w:t>Distribution List:</w:t>
            </w:r>
          </w:p>
        </w:tc>
        <w:tc>
          <w:tcPr>
            <w:tcW w:w="5760" w:type="dxa"/>
            <w:shd w:val="clear" w:color="auto" w:fill="auto"/>
          </w:tcPr>
          <w:p w:rsidR="00A76322" w:rsidRDefault="00DE7B46" w:rsidP="00A76322">
            <w:r>
              <w:t>Yet</w:t>
            </w:r>
          </w:p>
        </w:tc>
      </w:tr>
    </w:tbl>
    <w:p w:rsidR="00A76322" w:rsidRDefault="00A76322" w:rsidP="00A76322"/>
    <w:p w:rsidR="0061021E" w:rsidRDefault="00A76322" w:rsidP="0061021E">
      <w:pPr>
        <w:pStyle w:val="TOCHeader"/>
      </w:pPr>
      <w:r>
        <w:br w:type="page"/>
      </w:r>
      <w:r>
        <w:lastRenderedPageBreak/>
        <w:t>Table of Contents</w:t>
      </w:r>
    </w:p>
    <w:p w:rsidR="00D24078" w:rsidRDefault="00DF033A">
      <w:pPr>
        <w:pStyle w:val="TOC1"/>
        <w:tabs>
          <w:tab w:val="left" w:pos="1320"/>
          <w:tab w:val="right" w:leader="dot" w:pos="8296"/>
        </w:tabs>
        <w:rPr>
          <w:rFonts w:asciiTheme="minorHAnsi" w:eastAsiaTheme="minorEastAsia" w:hAnsiTheme="minorHAnsi" w:cstheme="minorBidi"/>
          <w:noProof/>
          <w:szCs w:val="22"/>
          <w:lang w:val="en-US" w:eastAsia="en-US"/>
        </w:rPr>
      </w:pPr>
      <w:r>
        <w:fldChar w:fldCharType="begin"/>
      </w:r>
      <w:r w:rsidR="0061021E">
        <w:instrText xml:space="preserve"> TOC \o "1-3" \h \z \u </w:instrText>
      </w:r>
      <w:r>
        <w:fldChar w:fldCharType="separate"/>
      </w:r>
      <w:hyperlink w:anchor="_Toc79826999" w:history="1">
        <w:r w:rsidR="00D24078" w:rsidRPr="0029575B">
          <w:rPr>
            <w:rStyle w:val="Hyperlink"/>
            <w:noProof/>
          </w:rPr>
          <w:t>Section 1</w:t>
        </w:r>
        <w:r w:rsidR="00D24078">
          <w:rPr>
            <w:rFonts w:asciiTheme="minorHAnsi" w:eastAsiaTheme="minorEastAsia" w:hAnsiTheme="minorHAnsi" w:cstheme="minorBidi"/>
            <w:noProof/>
            <w:szCs w:val="22"/>
            <w:lang w:val="en-US" w:eastAsia="en-US"/>
          </w:rPr>
          <w:tab/>
        </w:r>
        <w:r w:rsidR="00D24078" w:rsidRPr="0029575B">
          <w:rPr>
            <w:rStyle w:val="Hyperlink"/>
            <w:noProof/>
          </w:rPr>
          <w:t>Introduction and Background</w:t>
        </w:r>
        <w:r w:rsidR="00D24078">
          <w:rPr>
            <w:noProof/>
            <w:webHidden/>
          </w:rPr>
          <w:tab/>
        </w:r>
        <w:r w:rsidR="00D24078">
          <w:rPr>
            <w:noProof/>
            <w:webHidden/>
          </w:rPr>
          <w:fldChar w:fldCharType="begin"/>
        </w:r>
        <w:r w:rsidR="00D24078">
          <w:rPr>
            <w:noProof/>
            <w:webHidden/>
          </w:rPr>
          <w:instrText xml:space="preserve"> PAGEREF _Toc79826999 \h </w:instrText>
        </w:r>
        <w:r w:rsidR="00D24078">
          <w:rPr>
            <w:noProof/>
            <w:webHidden/>
          </w:rPr>
        </w:r>
        <w:r w:rsidR="00D24078">
          <w:rPr>
            <w:noProof/>
            <w:webHidden/>
          </w:rPr>
          <w:fldChar w:fldCharType="separate"/>
        </w:r>
        <w:r w:rsidR="00D24078">
          <w:rPr>
            <w:noProof/>
            <w:webHidden/>
          </w:rPr>
          <w:t>1</w:t>
        </w:r>
        <w:r w:rsidR="00D24078">
          <w:rPr>
            <w:noProof/>
            <w:webHidden/>
          </w:rPr>
          <w:fldChar w:fldCharType="end"/>
        </w:r>
      </w:hyperlink>
    </w:p>
    <w:p w:rsidR="00D24078" w:rsidRDefault="001A0326">
      <w:pPr>
        <w:pStyle w:val="TOC2"/>
        <w:rPr>
          <w:rFonts w:asciiTheme="minorHAnsi" w:eastAsiaTheme="minorEastAsia" w:hAnsiTheme="minorHAnsi" w:cstheme="minorBidi"/>
          <w:noProof/>
          <w:szCs w:val="22"/>
          <w:lang w:val="en-US" w:eastAsia="en-US"/>
        </w:rPr>
      </w:pPr>
      <w:hyperlink w:anchor="_Toc79827000" w:history="1">
        <w:r w:rsidR="00D24078" w:rsidRPr="0029575B">
          <w:rPr>
            <w:rStyle w:val="Hyperlink"/>
            <w:noProof/>
          </w:rPr>
          <w:t>1.A</w:t>
        </w:r>
        <w:r w:rsidR="00D24078">
          <w:rPr>
            <w:rFonts w:asciiTheme="minorHAnsi" w:eastAsiaTheme="minorEastAsia" w:hAnsiTheme="minorHAnsi" w:cstheme="minorBidi"/>
            <w:noProof/>
            <w:szCs w:val="22"/>
            <w:lang w:val="en-US" w:eastAsia="en-US"/>
          </w:rPr>
          <w:tab/>
        </w:r>
        <w:r w:rsidR="00D24078" w:rsidRPr="0029575B">
          <w:rPr>
            <w:rStyle w:val="Hyperlink"/>
            <w:noProof/>
          </w:rPr>
          <w:t>Introduction</w:t>
        </w:r>
        <w:r w:rsidR="00D24078">
          <w:rPr>
            <w:noProof/>
            <w:webHidden/>
          </w:rPr>
          <w:tab/>
        </w:r>
        <w:r w:rsidR="00D24078">
          <w:rPr>
            <w:noProof/>
            <w:webHidden/>
          </w:rPr>
          <w:fldChar w:fldCharType="begin"/>
        </w:r>
        <w:r w:rsidR="00D24078">
          <w:rPr>
            <w:noProof/>
            <w:webHidden/>
          </w:rPr>
          <w:instrText xml:space="preserve"> PAGEREF _Toc79827000 \h </w:instrText>
        </w:r>
        <w:r w:rsidR="00D24078">
          <w:rPr>
            <w:noProof/>
            <w:webHidden/>
          </w:rPr>
        </w:r>
        <w:r w:rsidR="00D24078">
          <w:rPr>
            <w:noProof/>
            <w:webHidden/>
          </w:rPr>
          <w:fldChar w:fldCharType="separate"/>
        </w:r>
        <w:r w:rsidR="00D24078">
          <w:rPr>
            <w:noProof/>
            <w:webHidden/>
          </w:rPr>
          <w:t>1</w:t>
        </w:r>
        <w:r w:rsidR="00D24078">
          <w:rPr>
            <w:noProof/>
            <w:webHidden/>
          </w:rPr>
          <w:fldChar w:fldCharType="end"/>
        </w:r>
      </w:hyperlink>
    </w:p>
    <w:p w:rsidR="00D24078" w:rsidRDefault="001A0326">
      <w:pPr>
        <w:pStyle w:val="TOC3"/>
        <w:rPr>
          <w:rFonts w:asciiTheme="minorHAnsi" w:eastAsiaTheme="minorEastAsia" w:hAnsiTheme="minorHAnsi" w:cstheme="minorBidi"/>
          <w:noProof/>
          <w:szCs w:val="22"/>
          <w:lang w:val="en-US" w:eastAsia="en-US"/>
        </w:rPr>
      </w:pPr>
      <w:hyperlink w:anchor="_Toc79827001" w:history="1">
        <w:r w:rsidR="00D24078" w:rsidRPr="0029575B">
          <w:rPr>
            <w:rStyle w:val="Hyperlink"/>
            <w:noProof/>
          </w:rPr>
          <w:t>1.A.1</w:t>
        </w:r>
        <w:r w:rsidR="00D24078">
          <w:rPr>
            <w:rFonts w:asciiTheme="minorHAnsi" w:eastAsiaTheme="minorEastAsia" w:hAnsiTheme="minorHAnsi" w:cstheme="minorBidi"/>
            <w:noProof/>
            <w:szCs w:val="22"/>
            <w:lang w:val="en-US" w:eastAsia="en-US"/>
          </w:rPr>
          <w:tab/>
        </w:r>
        <w:r w:rsidR="00D24078" w:rsidRPr="0029575B">
          <w:rPr>
            <w:rStyle w:val="Hyperlink"/>
            <w:noProof/>
          </w:rPr>
          <w:t>Budget Process</w:t>
        </w:r>
        <w:r w:rsidR="00D24078">
          <w:rPr>
            <w:noProof/>
            <w:webHidden/>
          </w:rPr>
          <w:tab/>
        </w:r>
        <w:r w:rsidR="00D24078">
          <w:rPr>
            <w:noProof/>
            <w:webHidden/>
          </w:rPr>
          <w:fldChar w:fldCharType="begin"/>
        </w:r>
        <w:r w:rsidR="00D24078">
          <w:rPr>
            <w:noProof/>
            <w:webHidden/>
          </w:rPr>
          <w:instrText xml:space="preserve"> PAGEREF _Toc79827001 \h </w:instrText>
        </w:r>
        <w:r w:rsidR="00D24078">
          <w:rPr>
            <w:noProof/>
            <w:webHidden/>
          </w:rPr>
        </w:r>
        <w:r w:rsidR="00D24078">
          <w:rPr>
            <w:noProof/>
            <w:webHidden/>
          </w:rPr>
          <w:fldChar w:fldCharType="separate"/>
        </w:r>
        <w:r w:rsidR="00D24078">
          <w:rPr>
            <w:noProof/>
            <w:webHidden/>
          </w:rPr>
          <w:t>1</w:t>
        </w:r>
        <w:r w:rsidR="00D24078">
          <w:rPr>
            <w:noProof/>
            <w:webHidden/>
          </w:rPr>
          <w:fldChar w:fldCharType="end"/>
        </w:r>
      </w:hyperlink>
    </w:p>
    <w:p w:rsidR="00D24078" w:rsidRDefault="001A0326">
      <w:pPr>
        <w:pStyle w:val="TOC3"/>
        <w:rPr>
          <w:rFonts w:asciiTheme="minorHAnsi" w:eastAsiaTheme="minorEastAsia" w:hAnsiTheme="minorHAnsi" w:cstheme="minorBidi"/>
          <w:noProof/>
          <w:szCs w:val="22"/>
          <w:lang w:val="en-US" w:eastAsia="en-US"/>
        </w:rPr>
      </w:pPr>
      <w:hyperlink w:anchor="_Toc79827002" w:history="1">
        <w:r w:rsidR="00D24078" w:rsidRPr="0029575B">
          <w:rPr>
            <w:rStyle w:val="Hyperlink"/>
            <w:noProof/>
          </w:rPr>
          <w:t>1.A.2</w:t>
        </w:r>
        <w:r w:rsidR="00D24078">
          <w:rPr>
            <w:rFonts w:asciiTheme="minorHAnsi" w:eastAsiaTheme="minorEastAsia" w:hAnsiTheme="minorHAnsi" w:cstheme="minorBidi"/>
            <w:noProof/>
            <w:szCs w:val="22"/>
            <w:lang w:val="en-US" w:eastAsia="en-US"/>
          </w:rPr>
          <w:tab/>
        </w:r>
        <w:r w:rsidR="00D24078" w:rsidRPr="0029575B">
          <w:rPr>
            <w:rStyle w:val="Hyperlink"/>
            <w:noProof/>
          </w:rPr>
          <w:t>Summary of Document Content</w:t>
        </w:r>
        <w:r w:rsidR="00D24078">
          <w:rPr>
            <w:noProof/>
            <w:webHidden/>
          </w:rPr>
          <w:tab/>
        </w:r>
        <w:r w:rsidR="00D24078">
          <w:rPr>
            <w:noProof/>
            <w:webHidden/>
          </w:rPr>
          <w:fldChar w:fldCharType="begin"/>
        </w:r>
        <w:r w:rsidR="00D24078">
          <w:rPr>
            <w:noProof/>
            <w:webHidden/>
          </w:rPr>
          <w:instrText xml:space="preserve"> PAGEREF _Toc79827002 \h </w:instrText>
        </w:r>
        <w:r w:rsidR="00D24078">
          <w:rPr>
            <w:noProof/>
            <w:webHidden/>
          </w:rPr>
        </w:r>
        <w:r w:rsidR="00D24078">
          <w:rPr>
            <w:noProof/>
            <w:webHidden/>
          </w:rPr>
          <w:fldChar w:fldCharType="separate"/>
        </w:r>
        <w:r w:rsidR="00D24078">
          <w:rPr>
            <w:noProof/>
            <w:webHidden/>
          </w:rPr>
          <w:t>2</w:t>
        </w:r>
        <w:r w:rsidR="00D24078">
          <w:rPr>
            <w:noProof/>
            <w:webHidden/>
          </w:rPr>
          <w:fldChar w:fldCharType="end"/>
        </w:r>
      </w:hyperlink>
    </w:p>
    <w:p w:rsidR="00D24078" w:rsidRDefault="001A0326">
      <w:pPr>
        <w:pStyle w:val="TOC3"/>
        <w:rPr>
          <w:rFonts w:asciiTheme="minorHAnsi" w:eastAsiaTheme="minorEastAsia" w:hAnsiTheme="minorHAnsi" w:cstheme="minorBidi"/>
          <w:noProof/>
          <w:szCs w:val="22"/>
          <w:lang w:val="en-US" w:eastAsia="en-US"/>
        </w:rPr>
      </w:pPr>
      <w:hyperlink w:anchor="_Toc79827003" w:history="1">
        <w:r w:rsidR="00D24078" w:rsidRPr="0029575B">
          <w:rPr>
            <w:rStyle w:val="Hyperlink"/>
            <w:noProof/>
          </w:rPr>
          <w:t>1.A.3</w:t>
        </w:r>
        <w:r w:rsidR="00D24078">
          <w:rPr>
            <w:rFonts w:asciiTheme="minorHAnsi" w:eastAsiaTheme="minorEastAsia" w:hAnsiTheme="minorHAnsi" w:cstheme="minorBidi"/>
            <w:noProof/>
            <w:szCs w:val="22"/>
            <w:lang w:val="en-US" w:eastAsia="en-US"/>
          </w:rPr>
          <w:tab/>
        </w:r>
        <w:r w:rsidR="00D24078" w:rsidRPr="0029575B">
          <w:rPr>
            <w:rStyle w:val="Hyperlink"/>
            <w:noProof/>
          </w:rPr>
          <w:t>Preparation and Audience</w:t>
        </w:r>
        <w:r w:rsidR="00D24078">
          <w:rPr>
            <w:noProof/>
            <w:webHidden/>
          </w:rPr>
          <w:tab/>
        </w:r>
        <w:r w:rsidR="00D24078">
          <w:rPr>
            <w:noProof/>
            <w:webHidden/>
          </w:rPr>
          <w:fldChar w:fldCharType="begin"/>
        </w:r>
        <w:r w:rsidR="00D24078">
          <w:rPr>
            <w:noProof/>
            <w:webHidden/>
          </w:rPr>
          <w:instrText xml:space="preserve"> PAGEREF _Toc79827003 \h </w:instrText>
        </w:r>
        <w:r w:rsidR="00D24078">
          <w:rPr>
            <w:noProof/>
            <w:webHidden/>
          </w:rPr>
        </w:r>
        <w:r w:rsidR="00D24078">
          <w:rPr>
            <w:noProof/>
            <w:webHidden/>
          </w:rPr>
          <w:fldChar w:fldCharType="separate"/>
        </w:r>
        <w:r w:rsidR="00D24078">
          <w:rPr>
            <w:noProof/>
            <w:webHidden/>
          </w:rPr>
          <w:t>3</w:t>
        </w:r>
        <w:r w:rsidR="00D24078">
          <w:rPr>
            <w:noProof/>
            <w:webHidden/>
          </w:rPr>
          <w:fldChar w:fldCharType="end"/>
        </w:r>
      </w:hyperlink>
    </w:p>
    <w:p w:rsidR="00D24078" w:rsidRDefault="001A0326">
      <w:pPr>
        <w:pStyle w:val="TOC2"/>
        <w:rPr>
          <w:rFonts w:asciiTheme="minorHAnsi" w:eastAsiaTheme="minorEastAsia" w:hAnsiTheme="minorHAnsi" w:cstheme="minorBidi"/>
          <w:noProof/>
          <w:szCs w:val="22"/>
          <w:lang w:val="en-US" w:eastAsia="en-US"/>
        </w:rPr>
      </w:pPr>
      <w:hyperlink w:anchor="_Toc79827004" w:history="1">
        <w:r w:rsidR="00D24078" w:rsidRPr="0029575B">
          <w:rPr>
            <w:rStyle w:val="Hyperlink"/>
            <w:noProof/>
          </w:rPr>
          <w:t>1.B</w:t>
        </w:r>
        <w:r w:rsidR="00D24078">
          <w:rPr>
            <w:rFonts w:asciiTheme="minorHAnsi" w:eastAsiaTheme="minorEastAsia" w:hAnsiTheme="minorHAnsi" w:cstheme="minorBidi"/>
            <w:noProof/>
            <w:szCs w:val="22"/>
            <w:lang w:val="en-US" w:eastAsia="en-US"/>
          </w:rPr>
          <w:tab/>
        </w:r>
        <w:r w:rsidR="00D24078" w:rsidRPr="0029575B">
          <w:rPr>
            <w:rStyle w:val="Hyperlink"/>
            <w:noProof/>
          </w:rPr>
          <w:t>Background</w:t>
        </w:r>
        <w:r w:rsidR="00D24078">
          <w:rPr>
            <w:noProof/>
            <w:webHidden/>
          </w:rPr>
          <w:tab/>
        </w:r>
        <w:r w:rsidR="00D24078">
          <w:rPr>
            <w:noProof/>
            <w:webHidden/>
          </w:rPr>
          <w:fldChar w:fldCharType="begin"/>
        </w:r>
        <w:r w:rsidR="00D24078">
          <w:rPr>
            <w:noProof/>
            <w:webHidden/>
          </w:rPr>
          <w:instrText xml:space="preserve"> PAGEREF _Toc79827004 \h </w:instrText>
        </w:r>
        <w:r w:rsidR="00D24078">
          <w:rPr>
            <w:noProof/>
            <w:webHidden/>
          </w:rPr>
        </w:r>
        <w:r w:rsidR="00D24078">
          <w:rPr>
            <w:noProof/>
            <w:webHidden/>
          </w:rPr>
          <w:fldChar w:fldCharType="separate"/>
        </w:r>
        <w:r w:rsidR="00D24078">
          <w:rPr>
            <w:noProof/>
            <w:webHidden/>
          </w:rPr>
          <w:t>3</w:t>
        </w:r>
        <w:r w:rsidR="00D24078">
          <w:rPr>
            <w:noProof/>
            <w:webHidden/>
          </w:rPr>
          <w:fldChar w:fldCharType="end"/>
        </w:r>
      </w:hyperlink>
    </w:p>
    <w:p w:rsidR="00D24078" w:rsidRDefault="001A0326">
      <w:pPr>
        <w:pStyle w:val="TOC3"/>
        <w:rPr>
          <w:rFonts w:asciiTheme="minorHAnsi" w:eastAsiaTheme="minorEastAsia" w:hAnsiTheme="minorHAnsi" w:cstheme="minorBidi"/>
          <w:noProof/>
          <w:szCs w:val="22"/>
          <w:lang w:val="en-US" w:eastAsia="en-US"/>
        </w:rPr>
      </w:pPr>
      <w:hyperlink w:anchor="_Toc79827005" w:history="1">
        <w:r w:rsidR="00D24078" w:rsidRPr="0029575B">
          <w:rPr>
            <w:rStyle w:val="Hyperlink"/>
            <w:noProof/>
          </w:rPr>
          <w:t>1.B.1</w:t>
        </w:r>
        <w:r w:rsidR="00D24078">
          <w:rPr>
            <w:rFonts w:asciiTheme="minorHAnsi" w:eastAsiaTheme="minorEastAsia" w:hAnsiTheme="minorHAnsi" w:cstheme="minorBidi"/>
            <w:noProof/>
            <w:szCs w:val="22"/>
            <w:lang w:val="en-US" w:eastAsia="en-US"/>
          </w:rPr>
          <w:tab/>
        </w:r>
        <w:r w:rsidR="00D24078" w:rsidRPr="0029575B">
          <w:rPr>
            <w:rStyle w:val="Hyperlink"/>
            <w:noProof/>
          </w:rPr>
          <w:t>Legislative and Institutional arrangement for Public Financial Management (PFM)</w:t>
        </w:r>
        <w:r w:rsidR="00D24078">
          <w:rPr>
            <w:noProof/>
            <w:webHidden/>
          </w:rPr>
          <w:tab/>
        </w:r>
        <w:r w:rsidR="00D24078">
          <w:rPr>
            <w:noProof/>
            <w:webHidden/>
          </w:rPr>
          <w:fldChar w:fldCharType="begin"/>
        </w:r>
        <w:r w:rsidR="00D24078">
          <w:rPr>
            <w:noProof/>
            <w:webHidden/>
          </w:rPr>
          <w:instrText xml:space="preserve"> PAGEREF _Toc79827005 \h </w:instrText>
        </w:r>
        <w:r w:rsidR="00D24078">
          <w:rPr>
            <w:noProof/>
            <w:webHidden/>
          </w:rPr>
        </w:r>
        <w:r w:rsidR="00D24078">
          <w:rPr>
            <w:noProof/>
            <w:webHidden/>
          </w:rPr>
          <w:fldChar w:fldCharType="separate"/>
        </w:r>
        <w:r w:rsidR="00D24078">
          <w:rPr>
            <w:noProof/>
            <w:webHidden/>
          </w:rPr>
          <w:t>3</w:t>
        </w:r>
        <w:r w:rsidR="00D24078">
          <w:rPr>
            <w:noProof/>
            <w:webHidden/>
          </w:rPr>
          <w:fldChar w:fldCharType="end"/>
        </w:r>
      </w:hyperlink>
    </w:p>
    <w:p w:rsidR="00D24078" w:rsidRDefault="001A0326">
      <w:pPr>
        <w:pStyle w:val="TOC3"/>
        <w:rPr>
          <w:rFonts w:asciiTheme="minorHAnsi" w:eastAsiaTheme="minorEastAsia" w:hAnsiTheme="minorHAnsi" w:cstheme="minorBidi"/>
          <w:noProof/>
          <w:szCs w:val="22"/>
          <w:lang w:val="en-US" w:eastAsia="en-US"/>
        </w:rPr>
      </w:pPr>
      <w:hyperlink w:anchor="_Toc79827006" w:history="1">
        <w:r w:rsidR="00D24078" w:rsidRPr="0029575B">
          <w:rPr>
            <w:rStyle w:val="Hyperlink"/>
            <w:noProof/>
          </w:rPr>
          <w:t>1.B.1.1 Legislative Framework for PFM in Kogi State–</w:t>
        </w:r>
        <w:r w:rsidR="00D24078">
          <w:rPr>
            <w:noProof/>
            <w:webHidden/>
          </w:rPr>
          <w:tab/>
        </w:r>
        <w:r w:rsidR="00D24078">
          <w:rPr>
            <w:noProof/>
            <w:webHidden/>
          </w:rPr>
          <w:fldChar w:fldCharType="begin"/>
        </w:r>
        <w:r w:rsidR="00D24078">
          <w:rPr>
            <w:noProof/>
            <w:webHidden/>
          </w:rPr>
          <w:instrText xml:space="preserve"> PAGEREF _Toc79827006 \h </w:instrText>
        </w:r>
        <w:r w:rsidR="00D24078">
          <w:rPr>
            <w:noProof/>
            <w:webHidden/>
          </w:rPr>
        </w:r>
        <w:r w:rsidR="00D24078">
          <w:rPr>
            <w:noProof/>
            <w:webHidden/>
          </w:rPr>
          <w:fldChar w:fldCharType="separate"/>
        </w:r>
        <w:r w:rsidR="00D24078">
          <w:rPr>
            <w:noProof/>
            <w:webHidden/>
          </w:rPr>
          <w:t>3</w:t>
        </w:r>
        <w:r w:rsidR="00D24078">
          <w:rPr>
            <w:noProof/>
            <w:webHidden/>
          </w:rPr>
          <w:fldChar w:fldCharType="end"/>
        </w:r>
      </w:hyperlink>
    </w:p>
    <w:p w:rsidR="00D24078" w:rsidRDefault="001A0326">
      <w:pPr>
        <w:pStyle w:val="TOC1"/>
        <w:tabs>
          <w:tab w:val="left" w:pos="1320"/>
          <w:tab w:val="right" w:leader="dot" w:pos="8296"/>
        </w:tabs>
        <w:rPr>
          <w:rFonts w:asciiTheme="minorHAnsi" w:eastAsiaTheme="minorEastAsia" w:hAnsiTheme="minorHAnsi" w:cstheme="minorBidi"/>
          <w:noProof/>
          <w:szCs w:val="22"/>
          <w:lang w:val="en-US" w:eastAsia="en-US"/>
        </w:rPr>
      </w:pPr>
      <w:hyperlink w:anchor="_Toc79827007" w:history="1">
        <w:r w:rsidR="00D24078" w:rsidRPr="0029575B">
          <w:rPr>
            <w:rStyle w:val="Hyperlink"/>
            <w:noProof/>
          </w:rPr>
          <w:t>Section 2</w:t>
        </w:r>
        <w:r w:rsidR="00D24078">
          <w:rPr>
            <w:rFonts w:asciiTheme="minorHAnsi" w:eastAsiaTheme="minorEastAsia" w:hAnsiTheme="minorHAnsi" w:cstheme="minorBidi"/>
            <w:noProof/>
            <w:szCs w:val="22"/>
            <w:lang w:val="en-US" w:eastAsia="en-US"/>
          </w:rPr>
          <w:tab/>
        </w:r>
        <w:r w:rsidR="00D24078" w:rsidRPr="0029575B">
          <w:rPr>
            <w:rStyle w:val="Hyperlink"/>
            <w:noProof/>
          </w:rPr>
          <w:t>Economic and Fiscal Update</w:t>
        </w:r>
        <w:r w:rsidR="00D24078">
          <w:rPr>
            <w:noProof/>
            <w:webHidden/>
          </w:rPr>
          <w:tab/>
        </w:r>
        <w:r w:rsidR="00D24078">
          <w:rPr>
            <w:noProof/>
            <w:webHidden/>
          </w:rPr>
          <w:fldChar w:fldCharType="begin"/>
        </w:r>
        <w:r w:rsidR="00D24078">
          <w:rPr>
            <w:noProof/>
            <w:webHidden/>
          </w:rPr>
          <w:instrText xml:space="preserve"> PAGEREF _Toc79827007 \h </w:instrText>
        </w:r>
        <w:r w:rsidR="00D24078">
          <w:rPr>
            <w:noProof/>
            <w:webHidden/>
          </w:rPr>
        </w:r>
        <w:r w:rsidR="00D24078">
          <w:rPr>
            <w:noProof/>
            <w:webHidden/>
          </w:rPr>
          <w:fldChar w:fldCharType="separate"/>
        </w:r>
        <w:r w:rsidR="00D24078">
          <w:rPr>
            <w:noProof/>
            <w:webHidden/>
          </w:rPr>
          <w:t>8</w:t>
        </w:r>
        <w:r w:rsidR="00D24078">
          <w:rPr>
            <w:noProof/>
            <w:webHidden/>
          </w:rPr>
          <w:fldChar w:fldCharType="end"/>
        </w:r>
      </w:hyperlink>
    </w:p>
    <w:p w:rsidR="00D24078" w:rsidRDefault="001A0326">
      <w:pPr>
        <w:pStyle w:val="TOC2"/>
        <w:rPr>
          <w:rFonts w:asciiTheme="minorHAnsi" w:eastAsiaTheme="minorEastAsia" w:hAnsiTheme="minorHAnsi" w:cstheme="minorBidi"/>
          <w:noProof/>
          <w:szCs w:val="22"/>
          <w:lang w:val="en-US" w:eastAsia="en-US"/>
        </w:rPr>
      </w:pPr>
      <w:hyperlink w:anchor="_Toc79827008" w:history="1">
        <w:r w:rsidR="00D24078" w:rsidRPr="0029575B">
          <w:rPr>
            <w:rStyle w:val="Hyperlink"/>
            <w:noProof/>
          </w:rPr>
          <w:t>2.A</w:t>
        </w:r>
        <w:r w:rsidR="00D24078">
          <w:rPr>
            <w:rFonts w:asciiTheme="minorHAnsi" w:eastAsiaTheme="minorEastAsia" w:hAnsiTheme="minorHAnsi" w:cstheme="minorBidi"/>
            <w:noProof/>
            <w:szCs w:val="22"/>
            <w:lang w:val="en-US" w:eastAsia="en-US"/>
          </w:rPr>
          <w:tab/>
        </w:r>
        <w:r w:rsidR="00D24078" w:rsidRPr="0029575B">
          <w:rPr>
            <w:rStyle w:val="Hyperlink"/>
            <w:noProof/>
          </w:rPr>
          <w:t>Economic Overview</w:t>
        </w:r>
        <w:r w:rsidR="00D24078">
          <w:rPr>
            <w:noProof/>
            <w:webHidden/>
          </w:rPr>
          <w:tab/>
        </w:r>
        <w:r w:rsidR="00D24078">
          <w:rPr>
            <w:noProof/>
            <w:webHidden/>
          </w:rPr>
          <w:fldChar w:fldCharType="begin"/>
        </w:r>
        <w:r w:rsidR="00D24078">
          <w:rPr>
            <w:noProof/>
            <w:webHidden/>
          </w:rPr>
          <w:instrText xml:space="preserve"> PAGEREF _Toc79827008 \h </w:instrText>
        </w:r>
        <w:r w:rsidR="00D24078">
          <w:rPr>
            <w:noProof/>
            <w:webHidden/>
          </w:rPr>
        </w:r>
        <w:r w:rsidR="00D24078">
          <w:rPr>
            <w:noProof/>
            <w:webHidden/>
          </w:rPr>
          <w:fldChar w:fldCharType="separate"/>
        </w:r>
        <w:r w:rsidR="00D24078">
          <w:rPr>
            <w:noProof/>
            <w:webHidden/>
          </w:rPr>
          <w:t>8</w:t>
        </w:r>
        <w:r w:rsidR="00D24078">
          <w:rPr>
            <w:noProof/>
            <w:webHidden/>
          </w:rPr>
          <w:fldChar w:fldCharType="end"/>
        </w:r>
      </w:hyperlink>
    </w:p>
    <w:p w:rsidR="00D24078" w:rsidRDefault="001A0326">
      <w:pPr>
        <w:pStyle w:val="TOC3"/>
        <w:rPr>
          <w:rFonts w:asciiTheme="minorHAnsi" w:eastAsiaTheme="minorEastAsia" w:hAnsiTheme="minorHAnsi" w:cstheme="minorBidi"/>
          <w:noProof/>
          <w:szCs w:val="22"/>
          <w:lang w:val="en-US" w:eastAsia="en-US"/>
        </w:rPr>
      </w:pPr>
      <w:hyperlink w:anchor="_Toc79827009" w:history="1">
        <w:r w:rsidR="00D24078" w:rsidRPr="0029575B">
          <w:rPr>
            <w:rStyle w:val="Hyperlink"/>
            <w:noProof/>
          </w:rPr>
          <w:t>2.A.1</w:t>
        </w:r>
        <w:r w:rsidR="00D24078">
          <w:rPr>
            <w:rFonts w:asciiTheme="minorHAnsi" w:eastAsiaTheme="minorEastAsia" w:hAnsiTheme="minorHAnsi" w:cstheme="minorBidi"/>
            <w:noProof/>
            <w:szCs w:val="22"/>
            <w:lang w:val="en-US" w:eastAsia="en-US"/>
          </w:rPr>
          <w:tab/>
        </w:r>
        <w:r w:rsidR="00D24078" w:rsidRPr="0029575B">
          <w:rPr>
            <w:rStyle w:val="Hyperlink"/>
            <w:noProof/>
          </w:rPr>
          <w:t>Global Economy</w:t>
        </w:r>
        <w:r w:rsidR="00D24078">
          <w:rPr>
            <w:noProof/>
            <w:webHidden/>
          </w:rPr>
          <w:tab/>
        </w:r>
        <w:r w:rsidR="00D24078">
          <w:rPr>
            <w:noProof/>
            <w:webHidden/>
          </w:rPr>
          <w:fldChar w:fldCharType="begin"/>
        </w:r>
        <w:r w:rsidR="00D24078">
          <w:rPr>
            <w:noProof/>
            <w:webHidden/>
          </w:rPr>
          <w:instrText xml:space="preserve"> PAGEREF _Toc79827009 \h </w:instrText>
        </w:r>
        <w:r w:rsidR="00D24078">
          <w:rPr>
            <w:noProof/>
            <w:webHidden/>
          </w:rPr>
        </w:r>
        <w:r w:rsidR="00D24078">
          <w:rPr>
            <w:noProof/>
            <w:webHidden/>
          </w:rPr>
          <w:fldChar w:fldCharType="separate"/>
        </w:r>
        <w:r w:rsidR="00D24078">
          <w:rPr>
            <w:noProof/>
            <w:webHidden/>
          </w:rPr>
          <w:t>8</w:t>
        </w:r>
        <w:r w:rsidR="00D24078">
          <w:rPr>
            <w:noProof/>
            <w:webHidden/>
          </w:rPr>
          <w:fldChar w:fldCharType="end"/>
        </w:r>
      </w:hyperlink>
    </w:p>
    <w:p w:rsidR="00D24078" w:rsidRDefault="001A0326">
      <w:pPr>
        <w:pStyle w:val="TOC3"/>
        <w:rPr>
          <w:rFonts w:asciiTheme="minorHAnsi" w:eastAsiaTheme="minorEastAsia" w:hAnsiTheme="minorHAnsi" w:cstheme="minorBidi"/>
          <w:noProof/>
          <w:szCs w:val="22"/>
          <w:lang w:val="en-US" w:eastAsia="en-US"/>
        </w:rPr>
      </w:pPr>
      <w:hyperlink w:anchor="_Toc79827010" w:history="1">
        <w:r w:rsidR="00D24078" w:rsidRPr="0029575B">
          <w:rPr>
            <w:rStyle w:val="Hyperlink"/>
            <w:noProof/>
          </w:rPr>
          <w:t>2.A.2</w:t>
        </w:r>
        <w:r w:rsidR="00D24078">
          <w:rPr>
            <w:rFonts w:asciiTheme="minorHAnsi" w:eastAsiaTheme="minorEastAsia" w:hAnsiTheme="minorHAnsi" w:cstheme="minorBidi"/>
            <w:noProof/>
            <w:szCs w:val="22"/>
            <w:lang w:val="en-US" w:eastAsia="en-US"/>
          </w:rPr>
          <w:tab/>
        </w:r>
        <w:r w:rsidR="00D24078" w:rsidRPr="0029575B">
          <w:rPr>
            <w:rStyle w:val="Hyperlink"/>
            <w:noProof/>
          </w:rPr>
          <w:t>Africa</w:t>
        </w:r>
        <w:r w:rsidR="00D24078">
          <w:rPr>
            <w:noProof/>
            <w:webHidden/>
          </w:rPr>
          <w:tab/>
        </w:r>
        <w:r w:rsidR="00D24078">
          <w:rPr>
            <w:noProof/>
            <w:webHidden/>
          </w:rPr>
          <w:fldChar w:fldCharType="begin"/>
        </w:r>
        <w:r w:rsidR="00D24078">
          <w:rPr>
            <w:noProof/>
            <w:webHidden/>
          </w:rPr>
          <w:instrText xml:space="preserve"> PAGEREF _Toc79827010 \h </w:instrText>
        </w:r>
        <w:r w:rsidR="00D24078">
          <w:rPr>
            <w:noProof/>
            <w:webHidden/>
          </w:rPr>
        </w:r>
        <w:r w:rsidR="00D24078">
          <w:rPr>
            <w:noProof/>
            <w:webHidden/>
          </w:rPr>
          <w:fldChar w:fldCharType="separate"/>
        </w:r>
        <w:r w:rsidR="00D24078">
          <w:rPr>
            <w:noProof/>
            <w:webHidden/>
          </w:rPr>
          <w:t>10</w:t>
        </w:r>
        <w:r w:rsidR="00D24078">
          <w:rPr>
            <w:noProof/>
            <w:webHidden/>
          </w:rPr>
          <w:fldChar w:fldCharType="end"/>
        </w:r>
      </w:hyperlink>
    </w:p>
    <w:p w:rsidR="00D24078" w:rsidRDefault="001A0326">
      <w:pPr>
        <w:pStyle w:val="TOC3"/>
        <w:rPr>
          <w:rFonts w:asciiTheme="minorHAnsi" w:eastAsiaTheme="minorEastAsia" w:hAnsiTheme="minorHAnsi" w:cstheme="minorBidi"/>
          <w:noProof/>
          <w:szCs w:val="22"/>
          <w:lang w:val="en-US" w:eastAsia="en-US"/>
        </w:rPr>
      </w:pPr>
      <w:hyperlink w:anchor="_Toc79827011" w:history="1">
        <w:r w:rsidR="00D24078" w:rsidRPr="0029575B">
          <w:rPr>
            <w:rStyle w:val="Hyperlink"/>
            <w:noProof/>
          </w:rPr>
          <w:t>2.A.3</w:t>
        </w:r>
        <w:r w:rsidR="00D24078">
          <w:rPr>
            <w:rFonts w:asciiTheme="minorHAnsi" w:eastAsiaTheme="minorEastAsia" w:hAnsiTheme="minorHAnsi" w:cstheme="minorBidi"/>
            <w:noProof/>
            <w:szCs w:val="22"/>
            <w:lang w:val="en-US" w:eastAsia="en-US"/>
          </w:rPr>
          <w:tab/>
        </w:r>
        <w:r w:rsidR="00D24078" w:rsidRPr="0029575B">
          <w:rPr>
            <w:rStyle w:val="Hyperlink"/>
            <w:noProof/>
          </w:rPr>
          <w:t>Nigerian Economy</w:t>
        </w:r>
        <w:r w:rsidR="00D24078">
          <w:rPr>
            <w:noProof/>
            <w:webHidden/>
          </w:rPr>
          <w:tab/>
        </w:r>
        <w:r w:rsidR="00D24078">
          <w:rPr>
            <w:noProof/>
            <w:webHidden/>
          </w:rPr>
          <w:fldChar w:fldCharType="begin"/>
        </w:r>
        <w:r w:rsidR="00D24078">
          <w:rPr>
            <w:noProof/>
            <w:webHidden/>
          </w:rPr>
          <w:instrText xml:space="preserve"> PAGEREF _Toc79827011 \h </w:instrText>
        </w:r>
        <w:r w:rsidR="00D24078">
          <w:rPr>
            <w:noProof/>
            <w:webHidden/>
          </w:rPr>
        </w:r>
        <w:r w:rsidR="00D24078">
          <w:rPr>
            <w:noProof/>
            <w:webHidden/>
          </w:rPr>
          <w:fldChar w:fldCharType="separate"/>
        </w:r>
        <w:r w:rsidR="00D24078">
          <w:rPr>
            <w:noProof/>
            <w:webHidden/>
          </w:rPr>
          <w:t>12</w:t>
        </w:r>
        <w:r w:rsidR="00D24078">
          <w:rPr>
            <w:noProof/>
            <w:webHidden/>
          </w:rPr>
          <w:fldChar w:fldCharType="end"/>
        </w:r>
      </w:hyperlink>
    </w:p>
    <w:p w:rsidR="00D24078" w:rsidRDefault="001A0326">
      <w:pPr>
        <w:pStyle w:val="TOC3"/>
        <w:rPr>
          <w:rFonts w:asciiTheme="minorHAnsi" w:eastAsiaTheme="minorEastAsia" w:hAnsiTheme="minorHAnsi" w:cstheme="minorBidi"/>
          <w:noProof/>
          <w:szCs w:val="22"/>
          <w:lang w:val="en-US" w:eastAsia="en-US"/>
        </w:rPr>
      </w:pPr>
      <w:hyperlink w:anchor="_Toc79827012" w:history="1">
        <w:r w:rsidR="00D24078" w:rsidRPr="0029575B">
          <w:rPr>
            <w:rStyle w:val="Hyperlink"/>
            <w:noProof/>
          </w:rPr>
          <w:t>2.A.4</w:t>
        </w:r>
        <w:r w:rsidR="00D24078">
          <w:rPr>
            <w:rFonts w:asciiTheme="minorHAnsi" w:eastAsiaTheme="minorEastAsia" w:hAnsiTheme="minorHAnsi" w:cstheme="minorBidi"/>
            <w:noProof/>
            <w:szCs w:val="22"/>
            <w:lang w:val="en-US" w:eastAsia="en-US"/>
          </w:rPr>
          <w:tab/>
        </w:r>
        <w:r w:rsidR="00D24078" w:rsidRPr="0029575B">
          <w:rPr>
            <w:rStyle w:val="Hyperlink"/>
            <w:noProof/>
          </w:rPr>
          <w:t>Kogi State Economy</w:t>
        </w:r>
        <w:r w:rsidR="00D24078">
          <w:rPr>
            <w:noProof/>
            <w:webHidden/>
          </w:rPr>
          <w:tab/>
        </w:r>
        <w:r w:rsidR="00D24078">
          <w:rPr>
            <w:noProof/>
            <w:webHidden/>
          </w:rPr>
          <w:fldChar w:fldCharType="begin"/>
        </w:r>
        <w:r w:rsidR="00D24078">
          <w:rPr>
            <w:noProof/>
            <w:webHidden/>
          </w:rPr>
          <w:instrText xml:space="preserve"> PAGEREF _Toc79827012 \h </w:instrText>
        </w:r>
        <w:r w:rsidR="00D24078">
          <w:rPr>
            <w:noProof/>
            <w:webHidden/>
          </w:rPr>
        </w:r>
        <w:r w:rsidR="00D24078">
          <w:rPr>
            <w:noProof/>
            <w:webHidden/>
          </w:rPr>
          <w:fldChar w:fldCharType="separate"/>
        </w:r>
        <w:r w:rsidR="00D24078">
          <w:rPr>
            <w:noProof/>
            <w:webHidden/>
          </w:rPr>
          <w:t>14</w:t>
        </w:r>
        <w:r w:rsidR="00D24078">
          <w:rPr>
            <w:noProof/>
            <w:webHidden/>
          </w:rPr>
          <w:fldChar w:fldCharType="end"/>
        </w:r>
      </w:hyperlink>
    </w:p>
    <w:p w:rsidR="00D24078" w:rsidRDefault="001A0326">
      <w:pPr>
        <w:pStyle w:val="TOC2"/>
        <w:rPr>
          <w:rFonts w:asciiTheme="minorHAnsi" w:eastAsiaTheme="minorEastAsia" w:hAnsiTheme="minorHAnsi" w:cstheme="minorBidi"/>
          <w:noProof/>
          <w:szCs w:val="22"/>
          <w:lang w:val="en-US" w:eastAsia="en-US"/>
        </w:rPr>
      </w:pPr>
      <w:hyperlink w:anchor="_Toc79827013" w:history="1">
        <w:r w:rsidR="00D24078" w:rsidRPr="0029575B">
          <w:rPr>
            <w:rStyle w:val="Hyperlink"/>
            <w:noProof/>
          </w:rPr>
          <w:t>2.B</w:t>
        </w:r>
        <w:r w:rsidR="00D24078">
          <w:rPr>
            <w:rFonts w:asciiTheme="minorHAnsi" w:eastAsiaTheme="minorEastAsia" w:hAnsiTheme="minorHAnsi" w:cstheme="minorBidi"/>
            <w:noProof/>
            <w:szCs w:val="22"/>
            <w:lang w:val="en-US" w:eastAsia="en-US"/>
          </w:rPr>
          <w:tab/>
        </w:r>
        <w:r w:rsidR="00D24078" w:rsidRPr="0029575B">
          <w:rPr>
            <w:rStyle w:val="Hyperlink"/>
            <w:noProof/>
          </w:rPr>
          <w:t>Fiscal Update</w:t>
        </w:r>
        <w:r w:rsidR="00D24078">
          <w:rPr>
            <w:noProof/>
            <w:webHidden/>
          </w:rPr>
          <w:tab/>
        </w:r>
        <w:r w:rsidR="00D24078">
          <w:rPr>
            <w:noProof/>
            <w:webHidden/>
          </w:rPr>
          <w:fldChar w:fldCharType="begin"/>
        </w:r>
        <w:r w:rsidR="00D24078">
          <w:rPr>
            <w:noProof/>
            <w:webHidden/>
          </w:rPr>
          <w:instrText xml:space="preserve"> PAGEREF _Toc79827013 \h </w:instrText>
        </w:r>
        <w:r w:rsidR="00D24078">
          <w:rPr>
            <w:noProof/>
            <w:webHidden/>
          </w:rPr>
        </w:r>
        <w:r w:rsidR="00D24078">
          <w:rPr>
            <w:noProof/>
            <w:webHidden/>
          </w:rPr>
          <w:fldChar w:fldCharType="separate"/>
        </w:r>
        <w:r w:rsidR="00D24078">
          <w:rPr>
            <w:noProof/>
            <w:webHidden/>
          </w:rPr>
          <w:t>16</w:t>
        </w:r>
        <w:r w:rsidR="00D24078">
          <w:rPr>
            <w:noProof/>
            <w:webHidden/>
          </w:rPr>
          <w:fldChar w:fldCharType="end"/>
        </w:r>
      </w:hyperlink>
    </w:p>
    <w:p w:rsidR="00D24078" w:rsidRDefault="001A0326">
      <w:pPr>
        <w:pStyle w:val="TOC3"/>
        <w:rPr>
          <w:rFonts w:asciiTheme="minorHAnsi" w:eastAsiaTheme="minorEastAsia" w:hAnsiTheme="minorHAnsi" w:cstheme="minorBidi"/>
          <w:noProof/>
          <w:szCs w:val="22"/>
          <w:lang w:val="en-US" w:eastAsia="en-US"/>
        </w:rPr>
      </w:pPr>
      <w:hyperlink w:anchor="_Toc79827014" w:history="1">
        <w:r w:rsidR="00D24078" w:rsidRPr="0029575B">
          <w:rPr>
            <w:rStyle w:val="Hyperlink"/>
            <w:noProof/>
          </w:rPr>
          <w:t>2. B.1</w:t>
        </w:r>
        <w:r w:rsidR="00D24078">
          <w:rPr>
            <w:rFonts w:asciiTheme="minorHAnsi" w:eastAsiaTheme="minorEastAsia" w:hAnsiTheme="minorHAnsi" w:cstheme="minorBidi"/>
            <w:noProof/>
            <w:szCs w:val="22"/>
            <w:lang w:val="en-US" w:eastAsia="en-US"/>
          </w:rPr>
          <w:tab/>
        </w:r>
        <w:r w:rsidR="00D24078" w:rsidRPr="0029575B">
          <w:rPr>
            <w:rStyle w:val="Hyperlink"/>
            <w:noProof/>
          </w:rPr>
          <w:t>Historic Trends</w:t>
        </w:r>
        <w:r w:rsidR="00D24078">
          <w:rPr>
            <w:noProof/>
            <w:webHidden/>
          </w:rPr>
          <w:tab/>
        </w:r>
        <w:r w:rsidR="00D24078">
          <w:rPr>
            <w:noProof/>
            <w:webHidden/>
          </w:rPr>
          <w:fldChar w:fldCharType="begin"/>
        </w:r>
        <w:r w:rsidR="00D24078">
          <w:rPr>
            <w:noProof/>
            <w:webHidden/>
          </w:rPr>
          <w:instrText xml:space="preserve"> PAGEREF _Toc79827014 \h </w:instrText>
        </w:r>
        <w:r w:rsidR="00D24078">
          <w:rPr>
            <w:noProof/>
            <w:webHidden/>
          </w:rPr>
        </w:r>
        <w:r w:rsidR="00D24078">
          <w:rPr>
            <w:noProof/>
            <w:webHidden/>
          </w:rPr>
          <w:fldChar w:fldCharType="separate"/>
        </w:r>
        <w:r w:rsidR="00D24078">
          <w:rPr>
            <w:noProof/>
            <w:webHidden/>
          </w:rPr>
          <w:t>16</w:t>
        </w:r>
        <w:r w:rsidR="00D24078">
          <w:rPr>
            <w:noProof/>
            <w:webHidden/>
          </w:rPr>
          <w:fldChar w:fldCharType="end"/>
        </w:r>
      </w:hyperlink>
    </w:p>
    <w:p w:rsidR="00D24078" w:rsidRDefault="001A0326">
      <w:pPr>
        <w:pStyle w:val="TOC3"/>
        <w:rPr>
          <w:rFonts w:asciiTheme="minorHAnsi" w:eastAsiaTheme="minorEastAsia" w:hAnsiTheme="minorHAnsi" w:cstheme="minorBidi"/>
          <w:noProof/>
          <w:szCs w:val="22"/>
          <w:lang w:val="en-US" w:eastAsia="en-US"/>
        </w:rPr>
      </w:pPr>
      <w:hyperlink w:anchor="_Toc79827015" w:history="1">
        <w:r w:rsidR="00D24078" w:rsidRPr="0029575B">
          <w:rPr>
            <w:rStyle w:val="Hyperlink"/>
            <w:noProof/>
          </w:rPr>
          <w:t>2.B.2</w:t>
        </w:r>
        <w:r w:rsidR="00D24078">
          <w:rPr>
            <w:rFonts w:asciiTheme="minorHAnsi" w:eastAsiaTheme="minorEastAsia" w:hAnsiTheme="minorHAnsi" w:cstheme="minorBidi"/>
            <w:noProof/>
            <w:szCs w:val="22"/>
            <w:lang w:val="en-US" w:eastAsia="en-US"/>
          </w:rPr>
          <w:tab/>
        </w:r>
        <w:r w:rsidR="00D24078" w:rsidRPr="0029575B">
          <w:rPr>
            <w:rStyle w:val="Hyperlink"/>
            <w:noProof/>
          </w:rPr>
          <w:t>Debt Position</w:t>
        </w:r>
        <w:r w:rsidR="00D24078">
          <w:rPr>
            <w:noProof/>
            <w:webHidden/>
          </w:rPr>
          <w:tab/>
        </w:r>
        <w:r w:rsidR="00D24078">
          <w:rPr>
            <w:noProof/>
            <w:webHidden/>
          </w:rPr>
          <w:fldChar w:fldCharType="begin"/>
        </w:r>
        <w:r w:rsidR="00D24078">
          <w:rPr>
            <w:noProof/>
            <w:webHidden/>
          </w:rPr>
          <w:instrText xml:space="preserve"> PAGEREF _Toc79827015 \h </w:instrText>
        </w:r>
        <w:r w:rsidR="00D24078">
          <w:rPr>
            <w:noProof/>
            <w:webHidden/>
          </w:rPr>
        </w:r>
        <w:r w:rsidR="00D24078">
          <w:rPr>
            <w:noProof/>
            <w:webHidden/>
          </w:rPr>
          <w:fldChar w:fldCharType="separate"/>
        </w:r>
        <w:r w:rsidR="00D24078">
          <w:rPr>
            <w:noProof/>
            <w:webHidden/>
          </w:rPr>
          <w:t>25</w:t>
        </w:r>
        <w:r w:rsidR="00D24078">
          <w:rPr>
            <w:noProof/>
            <w:webHidden/>
          </w:rPr>
          <w:fldChar w:fldCharType="end"/>
        </w:r>
      </w:hyperlink>
    </w:p>
    <w:p w:rsidR="00D24078" w:rsidRDefault="001A0326">
      <w:pPr>
        <w:pStyle w:val="TOC2"/>
        <w:rPr>
          <w:rFonts w:asciiTheme="minorHAnsi" w:eastAsiaTheme="minorEastAsia" w:hAnsiTheme="minorHAnsi" w:cstheme="minorBidi"/>
          <w:noProof/>
          <w:szCs w:val="22"/>
          <w:lang w:val="en-US" w:eastAsia="en-US"/>
        </w:rPr>
      </w:pPr>
      <w:hyperlink w:anchor="_Toc79827016" w:history="1">
        <w:r w:rsidR="00D24078" w:rsidRPr="0029575B">
          <w:rPr>
            <w:rStyle w:val="Hyperlink"/>
            <w:noProof/>
          </w:rPr>
          <w:t>2.C</w:t>
        </w:r>
        <w:r w:rsidR="00D24078">
          <w:rPr>
            <w:rFonts w:asciiTheme="minorHAnsi" w:eastAsiaTheme="minorEastAsia" w:hAnsiTheme="minorHAnsi" w:cstheme="minorBidi"/>
            <w:noProof/>
            <w:szCs w:val="22"/>
            <w:lang w:val="en-US" w:eastAsia="en-US"/>
          </w:rPr>
          <w:tab/>
        </w:r>
        <w:r w:rsidR="00D24078" w:rsidRPr="0029575B">
          <w:rPr>
            <w:rStyle w:val="Hyperlink"/>
            <w:noProof/>
          </w:rPr>
          <w:t>Macroeconomic Framework</w:t>
        </w:r>
        <w:r w:rsidR="00D24078">
          <w:rPr>
            <w:noProof/>
            <w:webHidden/>
          </w:rPr>
          <w:tab/>
        </w:r>
        <w:r w:rsidR="00D24078">
          <w:rPr>
            <w:noProof/>
            <w:webHidden/>
          </w:rPr>
          <w:fldChar w:fldCharType="begin"/>
        </w:r>
        <w:r w:rsidR="00D24078">
          <w:rPr>
            <w:noProof/>
            <w:webHidden/>
          </w:rPr>
          <w:instrText xml:space="preserve"> PAGEREF _Toc79827016 \h </w:instrText>
        </w:r>
        <w:r w:rsidR="00D24078">
          <w:rPr>
            <w:noProof/>
            <w:webHidden/>
          </w:rPr>
        </w:r>
        <w:r w:rsidR="00D24078">
          <w:rPr>
            <w:noProof/>
            <w:webHidden/>
          </w:rPr>
          <w:fldChar w:fldCharType="separate"/>
        </w:r>
        <w:r w:rsidR="00D24078">
          <w:rPr>
            <w:noProof/>
            <w:webHidden/>
          </w:rPr>
          <w:t>25</w:t>
        </w:r>
        <w:r w:rsidR="00D24078">
          <w:rPr>
            <w:noProof/>
            <w:webHidden/>
          </w:rPr>
          <w:fldChar w:fldCharType="end"/>
        </w:r>
      </w:hyperlink>
    </w:p>
    <w:p w:rsidR="00D24078" w:rsidRDefault="001A0326">
      <w:pPr>
        <w:pStyle w:val="TOC2"/>
        <w:rPr>
          <w:rFonts w:asciiTheme="minorHAnsi" w:eastAsiaTheme="minorEastAsia" w:hAnsiTheme="minorHAnsi" w:cstheme="minorBidi"/>
          <w:noProof/>
          <w:szCs w:val="22"/>
          <w:lang w:val="en-US" w:eastAsia="en-US"/>
        </w:rPr>
      </w:pPr>
      <w:hyperlink w:anchor="_Toc79827017" w:history="1">
        <w:r w:rsidR="00D24078" w:rsidRPr="0029575B">
          <w:rPr>
            <w:rStyle w:val="Hyperlink"/>
            <w:noProof/>
          </w:rPr>
          <w:t>2.D</w:t>
        </w:r>
        <w:r w:rsidR="00D24078">
          <w:rPr>
            <w:rFonts w:asciiTheme="minorHAnsi" w:eastAsiaTheme="minorEastAsia" w:hAnsiTheme="minorHAnsi" w:cstheme="minorBidi"/>
            <w:noProof/>
            <w:szCs w:val="22"/>
            <w:lang w:val="en-US" w:eastAsia="en-US"/>
          </w:rPr>
          <w:tab/>
        </w:r>
        <w:r w:rsidR="00D24078" w:rsidRPr="0029575B">
          <w:rPr>
            <w:rStyle w:val="Hyperlink"/>
            <w:noProof/>
          </w:rPr>
          <w:t>Fiscal Strategy and Assumptions</w:t>
        </w:r>
        <w:r w:rsidR="00D24078">
          <w:rPr>
            <w:noProof/>
            <w:webHidden/>
          </w:rPr>
          <w:tab/>
        </w:r>
        <w:r w:rsidR="00D24078">
          <w:rPr>
            <w:noProof/>
            <w:webHidden/>
          </w:rPr>
          <w:fldChar w:fldCharType="begin"/>
        </w:r>
        <w:r w:rsidR="00D24078">
          <w:rPr>
            <w:noProof/>
            <w:webHidden/>
          </w:rPr>
          <w:instrText xml:space="preserve"> PAGEREF _Toc79827017 \h </w:instrText>
        </w:r>
        <w:r w:rsidR="00D24078">
          <w:rPr>
            <w:noProof/>
            <w:webHidden/>
          </w:rPr>
        </w:r>
        <w:r w:rsidR="00D24078">
          <w:rPr>
            <w:noProof/>
            <w:webHidden/>
          </w:rPr>
          <w:fldChar w:fldCharType="separate"/>
        </w:r>
        <w:r w:rsidR="00D24078">
          <w:rPr>
            <w:noProof/>
            <w:webHidden/>
          </w:rPr>
          <w:t>26</w:t>
        </w:r>
        <w:r w:rsidR="00D24078">
          <w:rPr>
            <w:noProof/>
            <w:webHidden/>
          </w:rPr>
          <w:fldChar w:fldCharType="end"/>
        </w:r>
      </w:hyperlink>
    </w:p>
    <w:p w:rsidR="00D24078" w:rsidRDefault="001A0326">
      <w:pPr>
        <w:pStyle w:val="TOC2"/>
        <w:rPr>
          <w:rFonts w:asciiTheme="minorHAnsi" w:eastAsiaTheme="minorEastAsia" w:hAnsiTheme="minorHAnsi" w:cstheme="minorBidi"/>
          <w:noProof/>
          <w:szCs w:val="22"/>
          <w:lang w:val="en-US" w:eastAsia="en-US"/>
        </w:rPr>
      </w:pPr>
      <w:hyperlink w:anchor="_Toc79827018" w:history="1">
        <w:r w:rsidR="00D24078" w:rsidRPr="0029575B">
          <w:rPr>
            <w:rStyle w:val="Hyperlink"/>
            <w:noProof/>
          </w:rPr>
          <w:t>2.E</w:t>
        </w:r>
        <w:r w:rsidR="00D24078">
          <w:rPr>
            <w:rFonts w:asciiTheme="minorHAnsi" w:eastAsiaTheme="minorEastAsia" w:hAnsiTheme="minorHAnsi" w:cstheme="minorBidi"/>
            <w:noProof/>
            <w:szCs w:val="22"/>
            <w:lang w:val="en-US" w:eastAsia="en-US"/>
          </w:rPr>
          <w:tab/>
        </w:r>
        <w:r w:rsidR="00D24078" w:rsidRPr="0029575B">
          <w:rPr>
            <w:rStyle w:val="Hyperlink"/>
            <w:noProof/>
          </w:rPr>
          <w:t>Indicative Three Year Fiscal Framework</w:t>
        </w:r>
        <w:r w:rsidR="00D24078">
          <w:rPr>
            <w:noProof/>
            <w:webHidden/>
          </w:rPr>
          <w:tab/>
        </w:r>
        <w:r w:rsidR="00D24078">
          <w:rPr>
            <w:noProof/>
            <w:webHidden/>
          </w:rPr>
          <w:fldChar w:fldCharType="begin"/>
        </w:r>
        <w:r w:rsidR="00D24078">
          <w:rPr>
            <w:noProof/>
            <w:webHidden/>
          </w:rPr>
          <w:instrText xml:space="preserve"> PAGEREF _Toc79827018 \h </w:instrText>
        </w:r>
        <w:r w:rsidR="00D24078">
          <w:rPr>
            <w:noProof/>
            <w:webHidden/>
          </w:rPr>
        </w:r>
        <w:r w:rsidR="00D24078">
          <w:rPr>
            <w:noProof/>
            <w:webHidden/>
          </w:rPr>
          <w:fldChar w:fldCharType="separate"/>
        </w:r>
        <w:r w:rsidR="00D24078">
          <w:rPr>
            <w:noProof/>
            <w:webHidden/>
          </w:rPr>
          <w:t>27</w:t>
        </w:r>
        <w:r w:rsidR="00D24078">
          <w:rPr>
            <w:noProof/>
            <w:webHidden/>
          </w:rPr>
          <w:fldChar w:fldCharType="end"/>
        </w:r>
      </w:hyperlink>
    </w:p>
    <w:p w:rsidR="00D24078" w:rsidRDefault="001A0326">
      <w:pPr>
        <w:pStyle w:val="TOC3"/>
        <w:rPr>
          <w:rFonts w:asciiTheme="minorHAnsi" w:eastAsiaTheme="minorEastAsia" w:hAnsiTheme="minorHAnsi" w:cstheme="minorBidi"/>
          <w:noProof/>
          <w:szCs w:val="22"/>
          <w:lang w:val="en-US" w:eastAsia="en-US"/>
        </w:rPr>
      </w:pPr>
      <w:hyperlink w:anchor="_Toc79827019" w:history="1">
        <w:r w:rsidR="00D24078" w:rsidRPr="0029575B">
          <w:rPr>
            <w:rStyle w:val="Hyperlink"/>
            <w:noProof/>
          </w:rPr>
          <w:t>2.E.1</w:t>
        </w:r>
        <w:r w:rsidR="00D24078">
          <w:rPr>
            <w:rFonts w:asciiTheme="minorHAnsi" w:eastAsiaTheme="minorEastAsia" w:hAnsiTheme="minorHAnsi" w:cstheme="minorBidi"/>
            <w:noProof/>
            <w:szCs w:val="22"/>
            <w:lang w:val="en-US" w:eastAsia="en-US"/>
          </w:rPr>
          <w:tab/>
        </w:r>
        <w:r w:rsidR="00D24078" w:rsidRPr="0029575B">
          <w:rPr>
            <w:rStyle w:val="Hyperlink"/>
            <w:noProof/>
          </w:rPr>
          <w:t>Assumptions</w:t>
        </w:r>
        <w:r w:rsidR="00D24078">
          <w:rPr>
            <w:noProof/>
            <w:webHidden/>
          </w:rPr>
          <w:tab/>
        </w:r>
        <w:r w:rsidR="00D24078">
          <w:rPr>
            <w:noProof/>
            <w:webHidden/>
          </w:rPr>
          <w:fldChar w:fldCharType="begin"/>
        </w:r>
        <w:r w:rsidR="00D24078">
          <w:rPr>
            <w:noProof/>
            <w:webHidden/>
          </w:rPr>
          <w:instrText xml:space="preserve"> PAGEREF _Toc79827019 \h </w:instrText>
        </w:r>
        <w:r w:rsidR="00D24078">
          <w:rPr>
            <w:noProof/>
            <w:webHidden/>
          </w:rPr>
        </w:r>
        <w:r w:rsidR="00D24078">
          <w:rPr>
            <w:noProof/>
            <w:webHidden/>
          </w:rPr>
          <w:fldChar w:fldCharType="separate"/>
        </w:r>
        <w:r w:rsidR="00D24078">
          <w:rPr>
            <w:noProof/>
            <w:webHidden/>
          </w:rPr>
          <w:t>28</w:t>
        </w:r>
        <w:r w:rsidR="00D24078">
          <w:rPr>
            <w:noProof/>
            <w:webHidden/>
          </w:rPr>
          <w:fldChar w:fldCharType="end"/>
        </w:r>
      </w:hyperlink>
    </w:p>
    <w:p w:rsidR="00D24078" w:rsidRDefault="001A0326">
      <w:pPr>
        <w:pStyle w:val="TOC3"/>
        <w:rPr>
          <w:rFonts w:asciiTheme="minorHAnsi" w:eastAsiaTheme="minorEastAsia" w:hAnsiTheme="minorHAnsi" w:cstheme="minorBidi"/>
          <w:noProof/>
          <w:szCs w:val="22"/>
          <w:lang w:val="en-US" w:eastAsia="en-US"/>
        </w:rPr>
      </w:pPr>
      <w:hyperlink w:anchor="_Toc79827020" w:history="1">
        <w:r w:rsidR="00D24078" w:rsidRPr="0029575B">
          <w:rPr>
            <w:rStyle w:val="Hyperlink"/>
            <w:noProof/>
          </w:rPr>
          <w:t>2.E.2</w:t>
        </w:r>
        <w:r w:rsidR="00D24078">
          <w:rPr>
            <w:rFonts w:asciiTheme="minorHAnsi" w:eastAsiaTheme="minorEastAsia" w:hAnsiTheme="minorHAnsi" w:cstheme="minorBidi"/>
            <w:noProof/>
            <w:szCs w:val="22"/>
            <w:lang w:val="en-US" w:eastAsia="en-US"/>
          </w:rPr>
          <w:tab/>
        </w:r>
        <w:r w:rsidR="00D24078" w:rsidRPr="0029575B">
          <w:rPr>
            <w:rStyle w:val="Hyperlink"/>
            <w:noProof/>
          </w:rPr>
          <w:t>Fiscal Trends</w:t>
        </w:r>
        <w:r w:rsidR="00D24078">
          <w:rPr>
            <w:noProof/>
            <w:webHidden/>
          </w:rPr>
          <w:tab/>
        </w:r>
        <w:r w:rsidR="00D24078">
          <w:rPr>
            <w:noProof/>
            <w:webHidden/>
          </w:rPr>
          <w:fldChar w:fldCharType="begin"/>
        </w:r>
        <w:r w:rsidR="00D24078">
          <w:rPr>
            <w:noProof/>
            <w:webHidden/>
          </w:rPr>
          <w:instrText xml:space="preserve"> PAGEREF _Toc79827020 \h </w:instrText>
        </w:r>
        <w:r w:rsidR="00D24078">
          <w:rPr>
            <w:noProof/>
            <w:webHidden/>
          </w:rPr>
        </w:r>
        <w:r w:rsidR="00D24078">
          <w:rPr>
            <w:noProof/>
            <w:webHidden/>
          </w:rPr>
          <w:fldChar w:fldCharType="separate"/>
        </w:r>
        <w:r w:rsidR="00D24078">
          <w:rPr>
            <w:noProof/>
            <w:webHidden/>
          </w:rPr>
          <w:t>29</w:t>
        </w:r>
        <w:r w:rsidR="00D24078">
          <w:rPr>
            <w:noProof/>
            <w:webHidden/>
          </w:rPr>
          <w:fldChar w:fldCharType="end"/>
        </w:r>
      </w:hyperlink>
    </w:p>
    <w:p w:rsidR="00D24078" w:rsidRDefault="001A0326">
      <w:pPr>
        <w:pStyle w:val="TOC2"/>
        <w:rPr>
          <w:rFonts w:asciiTheme="minorHAnsi" w:eastAsiaTheme="minorEastAsia" w:hAnsiTheme="minorHAnsi" w:cstheme="minorBidi"/>
          <w:noProof/>
          <w:szCs w:val="22"/>
          <w:lang w:val="en-US" w:eastAsia="en-US"/>
        </w:rPr>
      </w:pPr>
      <w:hyperlink w:anchor="_Toc79827021" w:history="1">
        <w:r w:rsidR="00D24078" w:rsidRPr="0029575B">
          <w:rPr>
            <w:rStyle w:val="Hyperlink"/>
            <w:noProof/>
          </w:rPr>
          <w:t>2.F</w:t>
        </w:r>
        <w:r w:rsidR="00D24078">
          <w:rPr>
            <w:rFonts w:asciiTheme="minorHAnsi" w:eastAsiaTheme="minorEastAsia" w:hAnsiTheme="minorHAnsi" w:cstheme="minorBidi"/>
            <w:noProof/>
            <w:szCs w:val="22"/>
            <w:lang w:val="en-US" w:eastAsia="en-US"/>
          </w:rPr>
          <w:tab/>
        </w:r>
        <w:r w:rsidR="00D24078" w:rsidRPr="0029575B">
          <w:rPr>
            <w:rStyle w:val="Hyperlink"/>
            <w:noProof/>
          </w:rPr>
          <w:t>Fiscal Risks</w:t>
        </w:r>
        <w:r w:rsidR="00D24078">
          <w:rPr>
            <w:noProof/>
            <w:webHidden/>
          </w:rPr>
          <w:tab/>
        </w:r>
        <w:r w:rsidR="00D24078">
          <w:rPr>
            <w:noProof/>
            <w:webHidden/>
          </w:rPr>
          <w:fldChar w:fldCharType="begin"/>
        </w:r>
        <w:r w:rsidR="00D24078">
          <w:rPr>
            <w:noProof/>
            <w:webHidden/>
          </w:rPr>
          <w:instrText xml:space="preserve"> PAGEREF _Toc79827021 \h </w:instrText>
        </w:r>
        <w:r w:rsidR="00D24078">
          <w:rPr>
            <w:noProof/>
            <w:webHidden/>
          </w:rPr>
        </w:r>
        <w:r w:rsidR="00D24078">
          <w:rPr>
            <w:noProof/>
            <w:webHidden/>
          </w:rPr>
          <w:fldChar w:fldCharType="separate"/>
        </w:r>
        <w:r w:rsidR="00D24078">
          <w:rPr>
            <w:noProof/>
            <w:webHidden/>
          </w:rPr>
          <w:t>32</w:t>
        </w:r>
        <w:r w:rsidR="00D24078">
          <w:rPr>
            <w:noProof/>
            <w:webHidden/>
          </w:rPr>
          <w:fldChar w:fldCharType="end"/>
        </w:r>
      </w:hyperlink>
    </w:p>
    <w:p w:rsidR="00D24078" w:rsidRDefault="001A0326">
      <w:pPr>
        <w:pStyle w:val="TOC1"/>
        <w:tabs>
          <w:tab w:val="left" w:pos="1320"/>
          <w:tab w:val="right" w:leader="dot" w:pos="8296"/>
        </w:tabs>
        <w:rPr>
          <w:rFonts w:asciiTheme="minorHAnsi" w:eastAsiaTheme="minorEastAsia" w:hAnsiTheme="minorHAnsi" w:cstheme="minorBidi"/>
          <w:noProof/>
          <w:szCs w:val="22"/>
          <w:lang w:val="en-US" w:eastAsia="en-US"/>
        </w:rPr>
      </w:pPr>
      <w:hyperlink w:anchor="_Toc79827022" w:history="1">
        <w:r w:rsidR="00D24078" w:rsidRPr="0029575B">
          <w:rPr>
            <w:rStyle w:val="Hyperlink"/>
            <w:noProof/>
          </w:rPr>
          <w:t>Section 3</w:t>
        </w:r>
        <w:r w:rsidR="00D24078">
          <w:rPr>
            <w:rFonts w:asciiTheme="minorHAnsi" w:eastAsiaTheme="minorEastAsia" w:hAnsiTheme="minorHAnsi" w:cstheme="minorBidi"/>
            <w:noProof/>
            <w:szCs w:val="22"/>
            <w:lang w:val="en-US" w:eastAsia="en-US"/>
          </w:rPr>
          <w:tab/>
        </w:r>
        <w:r w:rsidR="00D24078" w:rsidRPr="0029575B">
          <w:rPr>
            <w:rStyle w:val="Hyperlink"/>
            <w:noProof/>
          </w:rPr>
          <w:t>Budget Policy Statement</w:t>
        </w:r>
        <w:r w:rsidR="00D24078">
          <w:rPr>
            <w:noProof/>
            <w:webHidden/>
          </w:rPr>
          <w:tab/>
        </w:r>
        <w:r w:rsidR="00D24078">
          <w:rPr>
            <w:noProof/>
            <w:webHidden/>
          </w:rPr>
          <w:fldChar w:fldCharType="begin"/>
        </w:r>
        <w:r w:rsidR="00D24078">
          <w:rPr>
            <w:noProof/>
            <w:webHidden/>
          </w:rPr>
          <w:instrText xml:space="preserve"> PAGEREF _Toc79827022 \h </w:instrText>
        </w:r>
        <w:r w:rsidR="00D24078">
          <w:rPr>
            <w:noProof/>
            <w:webHidden/>
          </w:rPr>
        </w:r>
        <w:r w:rsidR="00D24078">
          <w:rPr>
            <w:noProof/>
            <w:webHidden/>
          </w:rPr>
          <w:fldChar w:fldCharType="separate"/>
        </w:r>
        <w:r w:rsidR="00D24078">
          <w:rPr>
            <w:noProof/>
            <w:webHidden/>
          </w:rPr>
          <w:t>34</w:t>
        </w:r>
        <w:r w:rsidR="00D24078">
          <w:rPr>
            <w:noProof/>
            <w:webHidden/>
          </w:rPr>
          <w:fldChar w:fldCharType="end"/>
        </w:r>
      </w:hyperlink>
    </w:p>
    <w:p w:rsidR="00D24078" w:rsidRDefault="001A0326">
      <w:pPr>
        <w:pStyle w:val="TOC2"/>
        <w:rPr>
          <w:rFonts w:asciiTheme="minorHAnsi" w:eastAsiaTheme="minorEastAsia" w:hAnsiTheme="minorHAnsi" w:cstheme="minorBidi"/>
          <w:noProof/>
          <w:szCs w:val="22"/>
          <w:lang w:val="en-US" w:eastAsia="en-US"/>
        </w:rPr>
      </w:pPr>
      <w:hyperlink w:anchor="_Toc79827023" w:history="1">
        <w:r w:rsidR="00D24078" w:rsidRPr="0029575B">
          <w:rPr>
            <w:rStyle w:val="Hyperlink"/>
            <w:noProof/>
          </w:rPr>
          <w:t>3.A</w:t>
        </w:r>
        <w:r w:rsidR="00D24078">
          <w:rPr>
            <w:rFonts w:asciiTheme="minorHAnsi" w:eastAsiaTheme="minorEastAsia" w:hAnsiTheme="minorHAnsi" w:cstheme="minorBidi"/>
            <w:noProof/>
            <w:szCs w:val="22"/>
            <w:lang w:val="en-US" w:eastAsia="en-US"/>
          </w:rPr>
          <w:tab/>
        </w:r>
        <w:r w:rsidR="00D24078" w:rsidRPr="0029575B">
          <w:rPr>
            <w:rStyle w:val="Hyperlink"/>
            <w:noProof/>
          </w:rPr>
          <w:t>Budget Policy Thrust</w:t>
        </w:r>
        <w:r w:rsidR="00D24078">
          <w:rPr>
            <w:noProof/>
            <w:webHidden/>
          </w:rPr>
          <w:tab/>
        </w:r>
        <w:r w:rsidR="00D24078">
          <w:rPr>
            <w:noProof/>
            <w:webHidden/>
          </w:rPr>
          <w:fldChar w:fldCharType="begin"/>
        </w:r>
        <w:r w:rsidR="00D24078">
          <w:rPr>
            <w:noProof/>
            <w:webHidden/>
          </w:rPr>
          <w:instrText xml:space="preserve"> PAGEREF _Toc79827023 \h </w:instrText>
        </w:r>
        <w:r w:rsidR="00D24078">
          <w:rPr>
            <w:noProof/>
            <w:webHidden/>
          </w:rPr>
        </w:r>
        <w:r w:rsidR="00D24078">
          <w:rPr>
            <w:noProof/>
            <w:webHidden/>
          </w:rPr>
          <w:fldChar w:fldCharType="separate"/>
        </w:r>
        <w:r w:rsidR="00D24078">
          <w:rPr>
            <w:noProof/>
            <w:webHidden/>
          </w:rPr>
          <w:t>34</w:t>
        </w:r>
        <w:r w:rsidR="00D24078">
          <w:rPr>
            <w:noProof/>
            <w:webHidden/>
          </w:rPr>
          <w:fldChar w:fldCharType="end"/>
        </w:r>
      </w:hyperlink>
    </w:p>
    <w:p w:rsidR="00D24078" w:rsidRDefault="001A0326" w:rsidP="00D24078">
      <w:pPr>
        <w:pStyle w:val="TOC2"/>
        <w:rPr>
          <w:rFonts w:asciiTheme="minorHAnsi" w:eastAsiaTheme="minorEastAsia" w:hAnsiTheme="minorHAnsi" w:cstheme="minorBidi"/>
          <w:noProof/>
          <w:szCs w:val="22"/>
          <w:lang w:val="en-US" w:eastAsia="en-US"/>
        </w:rPr>
      </w:pPr>
      <w:hyperlink w:anchor="_Toc79827024" w:history="1">
        <w:r w:rsidR="00D24078" w:rsidRPr="0029575B">
          <w:rPr>
            <w:rStyle w:val="Hyperlink"/>
            <w:noProof/>
          </w:rPr>
          <w:t>3.B</w:t>
        </w:r>
        <w:r w:rsidR="00D24078">
          <w:rPr>
            <w:rFonts w:asciiTheme="minorHAnsi" w:eastAsiaTheme="minorEastAsia" w:hAnsiTheme="minorHAnsi" w:cstheme="minorBidi"/>
            <w:noProof/>
            <w:szCs w:val="22"/>
            <w:lang w:val="en-US" w:eastAsia="en-US"/>
          </w:rPr>
          <w:tab/>
        </w:r>
        <w:r w:rsidR="00D24078" w:rsidRPr="0029575B">
          <w:rPr>
            <w:rStyle w:val="Hyperlink"/>
            <w:noProof/>
          </w:rPr>
          <w:t>Sector Allocations (3 Year)</w:t>
        </w:r>
        <w:r w:rsidR="00D24078">
          <w:rPr>
            <w:noProof/>
            <w:webHidden/>
          </w:rPr>
          <w:tab/>
        </w:r>
        <w:r w:rsidR="00D24078">
          <w:rPr>
            <w:noProof/>
            <w:webHidden/>
          </w:rPr>
          <w:fldChar w:fldCharType="begin"/>
        </w:r>
        <w:r w:rsidR="00D24078">
          <w:rPr>
            <w:noProof/>
            <w:webHidden/>
          </w:rPr>
          <w:instrText xml:space="preserve"> PAGEREF _Toc79827024 \h </w:instrText>
        </w:r>
        <w:r w:rsidR="00D24078">
          <w:rPr>
            <w:noProof/>
            <w:webHidden/>
          </w:rPr>
        </w:r>
        <w:r w:rsidR="00D24078">
          <w:rPr>
            <w:noProof/>
            <w:webHidden/>
          </w:rPr>
          <w:fldChar w:fldCharType="separate"/>
        </w:r>
        <w:r w:rsidR="00D24078">
          <w:rPr>
            <w:noProof/>
            <w:webHidden/>
          </w:rPr>
          <w:t>34</w:t>
        </w:r>
        <w:r w:rsidR="00D24078">
          <w:rPr>
            <w:noProof/>
            <w:webHidden/>
          </w:rPr>
          <w:fldChar w:fldCharType="end"/>
        </w:r>
      </w:hyperlink>
    </w:p>
    <w:p w:rsidR="00D24078" w:rsidRDefault="001A0326">
      <w:pPr>
        <w:pStyle w:val="TOC2"/>
        <w:rPr>
          <w:rFonts w:asciiTheme="minorHAnsi" w:eastAsiaTheme="minorEastAsia" w:hAnsiTheme="minorHAnsi" w:cstheme="minorBidi"/>
          <w:noProof/>
          <w:szCs w:val="22"/>
          <w:lang w:val="en-US" w:eastAsia="en-US"/>
        </w:rPr>
      </w:pPr>
      <w:hyperlink w:anchor="_Toc79827028" w:history="1">
        <w:r w:rsidR="00D24078" w:rsidRPr="0029575B">
          <w:rPr>
            <w:rStyle w:val="Hyperlink"/>
            <w:noProof/>
          </w:rPr>
          <w:t>4.C Considerations for the Planning and Annual Budget Process</w:t>
        </w:r>
        <w:r w:rsidR="00D24078">
          <w:rPr>
            <w:noProof/>
            <w:webHidden/>
          </w:rPr>
          <w:tab/>
        </w:r>
        <w:r w:rsidR="00D24078">
          <w:rPr>
            <w:noProof/>
            <w:webHidden/>
          </w:rPr>
          <w:fldChar w:fldCharType="begin"/>
        </w:r>
        <w:r w:rsidR="00D24078">
          <w:rPr>
            <w:noProof/>
            <w:webHidden/>
          </w:rPr>
          <w:instrText xml:space="preserve"> PAGEREF _Toc79827028 \h </w:instrText>
        </w:r>
        <w:r w:rsidR="00D24078">
          <w:rPr>
            <w:noProof/>
            <w:webHidden/>
          </w:rPr>
        </w:r>
        <w:r w:rsidR="00D24078">
          <w:rPr>
            <w:noProof/>
            <w:webHidden/>
          </w:rPr>
          <w:fldChar w:fldCharType="separate"/>
        </w:r>
        <w:r w:rsidR="00D24078">
          <w:rPr>
            <w:noProof/>
            <w:webHidden/>
          </w:rPr>
          <w:t>48</w:t>
        </w:r>
        <w:r w:rsidR="00D24078">
          <w:rPr>
            <w:noProof/>
            <w:webHidden/>
          </w:rPr>
          <w:fldChar w:fldCharType="end"/>
        </w:r>
      </w:hyperlink>
    </w:p>
    <w:p w:rsidR="00D24078" w:rsidRDefault="001A0326">
      <w:pPr>
        <w:pStyle w:val="TOC1"/>
        <w:tabs>
          <w:tab w:val="left" w:pos="1320"/>
          <w:tab w:val="right" w:leader="dot" w:pos="8296"/>
        </w:tabs>
        <w:rPr>
          <w:rFonts w:asciiTheme="minorHAnsi" w:eastAsiaTheme="minorEastAsia" w:hAnsiTheme="minorHAnsi" w:cstheme="minorBidi"/>
          <w:noProof/>
          <w:szCs w:val="22"/>
          <w:lang w:val="en-US" w:eastAsia="en-US"/>
        </w:rPr>
      </w:pPr>
      <w:hyperlink w:anchor="_Toc79827029" w:history="1">
        <w:r w:rsidR="00D24078" w:rsidRPr="0029575B">
          <w:rPr>
            <w:rStyle w:val="Hyperlink"/>
            <w:noProof/>
          </w:rPr>
          <w:t>Section 4</w:t>
        </w:r>
        <w:r w:rsidR="00D24078">
          <w:rPr>
            <w:rFonts w:asciiTheme="minorHAnsi" w:eastAsiaTheme="minorEastAsia" w:hAnsiTheme="minorHAnsi" w:cstheme="minorBidi"/>
            <w:noProof/>
            <w:szCs w:val="22"/>
            <w:lang w:val="en-US" w:eastAsia="en-US"/>
          </w:rPr>
          <w:tab/>
        </w:r>
        <w:r w:rsidR="00D24078" w:rsidRPr="0029575B">
          <w:rPr>
            <w:rStyle w:val="Hyperlink"/>
            <w:noProof/>
          </w:rPr>
          <w:t>Summary of Key Points and Recommendations</w:t>
        </w:r>
        <w:r w:rsidR="00D24078">
          <w:rPr>
            <w:noProof/>
            <w:webHidden/>
          </w:rPr>
          <w:tab/>
        </w:r>
        <w:r w:rsidR="00D24078">
          <w:rPr>
            <w:noProof/>
            <w:webHidden/>
          </w:rPr>
          <w:fldChar w:fldCharType="begin"/>
        </w:r>
        <w:r w:rsidR="00D24078">
          <w:rPr>
            <w:noProof/>
            <w:webHidden/>
          </w:rPr>
          <w:instrText xml:space="preserve"> PAGEREF _Toc79827029 \h </w:instrText>
        </w:r>
        <w:r w:rsidR="00D24078">
          <w:rPr>
            <w:noProof/>
            <w:webHidden/>
          </w:rPr>
        </w:r>
        <w:r w:rsidR="00D24078">
          <w:rPr>
            <w:noProof/>
            <w:webHidden/>
          </w:rPr>
          <w:fldChar w:fldCharType="separate"/>
        </w:r>
        <w:r w:rsidR="00D24078">
          <w:rPr>
            <w:noProof/>
            <w:webHidden/>
          </w:rPr>
          <w:t>49</w:t>
        </w:r>
        <w:r w:rsidR="00D24078">
          <w:rPr>
            <w:noProof/>
            <w:webHidden/>
          </w:rPr>
          <w:fldChar w:fldCharType="end"/>
        </w:r>
      </w:hyperlink>
    </w:p>
    <w:p w:rsidR="0061021E" w:rsidRDefault="00DF033A">
      <w:r>
        <w:fldChar w:fldCharType="end"/>
      </w:r>
    </w:p>
    <w:p w:rsidR="00A76322" w:rsidRDefault="00A76322" w:rsidP="0061021E">
      <w:pPr>
        <w:pStyle w:val="TOCHeader"/>
      </w:pPr>
      <w:r>
        <w:br w:type="page"/>
      </w:r>
      <w:r>
        <w:lastRenderedPageBreak/>
        <w:t>List of Tables</w:t>
      </w:r>
    </w:p>
    <w:p w:rsidR="00683887" w:rsidRDefault="00DF033A">
      <w:pPr>
        <w:pStyle w:val="TableofFigures"/>
        <w:tabs>
          <w:tab w:val="right" w:leader="dot" w:pos="8296"/>
        </w:tabs>
        <w:rPr>
          <w:rFonts w:asciiTheme="minorHAnsi" w:eastAsiaTheme="minorEastAsia" w:hAnsiTheme="minorHAnsi" w:cstheme="minorBidi"/>
          <w:noProof/>
          <w:szCs w:val="22"/>
          <w:lang w:val="en-US" w:eastAsia="en-US"/>
        </w:rPr>
      </w:pPr>
      <w:r>
        <w:fldChar w:fldCharType="begin"/>
      </w:r>
      <w:r w:rsidR="00A76322">
        <w:instrText xml:space="preserve"> TOC \h \z \c "Table" </w:instrText>
      </w:r>
      <w:r>
        <w:fldChar w:fldCharType="separate"/>
      </w:r>
      <w:hyperlink w:anchor="_Toc79827145" w:history="1">
        <w:r w:rsidR="00683887" w:rsidRPr="00A91CC1">
          <w:rPr>
            <w:rStyle w:val="Hyperlink"/>
            <w:noProof/>
          </w:rPr>
          <w:t>Table 1: Budget Calendar</w:t>
        </w:r>
        <w:r w:rsidR="00683887">
          <w:rPr>
            <w:noProof/>
            <w:webHidden/>
          </w:rPr>
          <w:tab/>
        </w:r>
        <w:r w:rsidR="00683887">
          <w:rPr>
            <w:noProof/>
            <w:webHidden/>
          </w:rPr>
          <w:fldChar w:fldCharType="begin"/>
        </w:r>
        <w:r w:rsidR="00683887">
          <w:rPr>
            <w:noProof/>
            <w:webHidden/>
          </w:rPr>
          <w:instrText xml:space="preserve"> PAGEREF _Toc79827145 \h </w:instrText>
        </w:r>
        <w:r w:rsidR="00683887">
          <w:rPr>
            <w:noProof/>
            <w:webHidden/>
          </w:rPr>
        </w:r>
        <w:r w:rsidR="00683887">
          <w:rPr>
            <w:noProof/>
            <w:webHidden/>
          </w:rPr>
          <w:fldChar w:fldCharType="separate"/>
        </w:r>
        <w:r w:rsidR="00683887">
          <w:rPr>
            <w:noProof/>
            <w:webHidden/>
          </w:rPr>
          <w:t>5</w:t>
        </w:r>
        <w:r w:rsidR="00683887">
          <w:rPr>
            <w:noProof/>
            <w:webHidden/>
          </w:rPr>
          <w:fldChar w:fldCharType="end"/>
        </w:r>
      </w:hyperlink>
    </w:p>
    <w:p w:rsidR="00683887" w:rsidRDefault="001A0326">
      <w:pPr>
        <w:pStyle w:val="TableofFigures"/>
        <w:tabs>
          <w:tab w:val="right" w:leader="dot" w:pos="8296"/>
        </w:tabs>
        <w:rPr>
          <w:rFonts w:asciiTheme="minorHAnsi" w:eastAsiaTheme="minorEastAsia" w:hAnsiTheme="minorHAnsi" w:cstheme="minorBidi"/>
          <w:noProof/>
          <w:szCs w:val="22"/>
          <w:lang w:val="en-US" w:eastAsia="en-US"/>
        </w:rPr>
      </w:pPr>
      <w:hyperlink w:anchor="_Toc79827146" w:history="1">
        <w:r w:rsidR="00683887" w:rsidRPr="00A91CC1">
          <w:rPr>
            <w:rStyle w:val="Hyperlink"/>
            <w:noProof/>
          </w:rPr>
          <w:t>Table 2: Real GDP Growth - Selected Countries</w:t>
        </w:r>
        <w:r w:rsidR="00683887">
          <w:rPr>
            <w:noProof/>
            <w:webHidden/>
          </w:rPr>
          <w:tab/>
        </w:r>
        <w:r w:rsidR="00683887">
          <w:rPr>
            <w:noProof/>
            <w:webHidden/>
          </w:rPr>
          <w:fldChar w:fldCharType="begin"/>
        </w:r>
        <w:r w:rsidR="00683887">
          <w:rPr>
            <w:noProof/>
            <w:webHidden/>
          </w:rPr>
          <w:instrText xml:space="preserve"> PAGEREF _Toc79827146 \h </w:instrText>
        </w:r>
        <w:r w:rsidR="00683887">
          <w:rPr>
            <w:noProof/>
            <w:webHidden/>
          </w:rPr>
        </w:r>
        <w:r w:rsidR="00683887">
          <w:rPr>
            <w:noProof/>
            <w:webHidden/>
          </w:rPr>
          <w:fldChar w:fldCharType="separate"/>
        </w:r>
        <w:r w:rsidR="00683887">
          <w:rPr>
            <w:noProof/>
            <w:webHidden/>
          </w:rPr>
          <w:t>10</w:t>
        </w:r>
        <w:r w:rsidR="00683887">
          <w:rPr>
            <w:noProof/>
            <w:webHidden/>
          </w:rPr>
          <w:fldChar w:fldCharType="end"/>
        </w:r>
      </w:hyperlink>
    </w:p>
    <w:p w:rsidR="00683887" w:rsidRDefault="001A0326">
      <w:pPr>
        <w:pStyle w:val="TableofFigures"/>
        <w:tabs>
          <w:tab w:val="right" w:leader="dot" w:pos="8296"/>
        </w:tabs>
        <w:rPr>
          <w:rFonts w:asciiTheme="minorHAnsi" w:eastAsiaTheme="minorEastAsia" w:hAnsiTheme="minorHAnsi" w:cstheme="minorBidi"/>
          <w:noProof/>
          <w:szCs w:val="22"/>
          <w:lang w:val="en-US" w:eastAsia="en-US"/>
        </w:rPr>
      </w:pPr>
      <w:hyperlink w:anchor="_Toc79827147" w:history="1">
        <w:r w:rsidR="00683887" w:rsidRPr="00A91CC1">
          <w:rPr>
            <w:rStyle w:val="Hyperlink"/>
            <w:noProof/>
          </w:rPr>
          <w:t>Table 3: Inflation (CPI) - Selected Countries</w:t>
        </w:r>
        <w:r w:rsidR="00683887">
          <w:rPr>
            <w:noProof/>
            <w:webHidden/>
          </w:rPr>
          <w:tab/>
        </w:r>
        <w:r w:rsidR="00683887">
          <w:rPr>
            <w:noProof/>
            <w:webHidden/>
          </w:rPr>
          <w:fldChar w:fldCharType="begin"/>
        </w:r>
        <w:r w:rsidR="00683887">
          <w:rPr>
            <w:noProof/>
            <w:webHidden/>
          </w:rPr>
          <w:instrText xml:space="preserve"> PAGEREF _Toc79827147 \h </w:instrText>
        </w:r>
        <w:r w:rsidR="00683887">
          <w:rPr>
            <w:noProof/>
            <w:webHidden/>
          </w:rPr>
        </w:r>
        <w:r w:rsidR="00683887">
          <w:rPr>
            <w:noProof/>
            <w:webHidden/>
          </w:rPr>
          <w:fldChar w:fldCharType="separate"/>
        </w:r>
        <w:r w:rsidR="00683887">
          <w:rPr>
            <w:noProof/>
            <w:webHidden/>
          </w:rPr>
          <w:t>10</w:t>
        </w:r>
        <w:r w:rsidR="00683887">
          <w:rPr>
            <w:noProof/>
            <w:webHidden/>
          </w:rPr>
          <w:fldChar w:fldCharType="end"/>
        </w:r>
      </w:hyperlink>
    </w:p>
    <w:p w:rsidR="00683887" w:rsidRDefault="001A0326">
      <w:pPr>
        <w:pStyle w:val="TableofFigures"/>
        <w:tabs>
          <w:tab w:val="right" w:leader="dot" w:pos="8296"/>
        </w:tabs>
        <w:rPr>
          <w:rFonts w:asciiTheme="minorHAnsi" w:eastAsiaTheme="minorEastAsia" w:hAnsiTheme="minorHAnsi" w:cstheme="minorBidi"/>
          <w:noProof/>
          <w:szCs w:val="22"/>
          <w:lang w:val="en-US" w:eastAsia="en-US"/>
        </w:rPr>
      </w:pPr>
      <w:hyperlink w:anchor="_Toc79827148" w:history="1">
        <w:r w:rsidR="00683887" w:rsidRPr="00A91CC1">
          <w:rPr>
            <w:rStyle w:val="Hyperlink"/>
            <w:noProof/>
          </w:rPr>
          <w:t>Table 4: Nigeria Key Macroeconomic Indicators</w:t>
        </w:r>
        <w:r w:rsidR="00683887">
          <w:rPr>
            <w:noProof/>
            <w:webHidden/>
          </w:rPr>
          <w:tab/>
        </w:r>
        <w:r w:rsidR="00683887">
          <w:rPr>
            <w:noProof/>
            <w:webHidden/>
          </w:rPr>
          <w:fldChar w:fldCharType="begin"/>
        </w:r>
        <w:r w:rsidR="00683887">
          <w:rPr>
            <w:noProof/>
            <w:webHidden/>
          </w:rPr>
          <w:instrText xml:space="preserve"> PAGEREF _Toc79827148 \h </w:instrText>
        </w:r>
        <w:r w:rsidR="00683887">
          <w:rPr>
            <w:noProof/>
            <w:webHidden/>
          </w:rPr>
        </w:r>
        <w:r w:rsidR="00683887">
          <w:rPr>
            <w:noProof/>
            <w:webHidden/>
          </w:rPr>
          <w:fldChar w:fldCharType="separate"/>
        </w:r>
        <w:r w:rsidR="00683887">
          <w:rPr>
            <w:noProof/>
            <w:webHidden/>
          </w:rPr>
          <w:t>13</w:t>
        </w:r>
        <w:r w:rsidR="00683887">
          <w:rPr>
            <w:noProof/>
            <w:webHidden/>
          </w:rPr>
          <w:fldChar w:fldCharType="end"/>
        </w:r>
      </w:hyperlink>
    </w:p>
    <w:p w:rsidR="00683887" w:rsidRDefault="001A0326">
      <w:pPr>
        <w:pStyle w:val="TableofFigures"/>
        <w:tabs>
          <w:tab w:val="right" w:leader="dot" w:pos="8296"/>
        </w:tabs>
        <w:rPr>
          <w:rFonts w:asciiTheme="minorHAnsi" w:eastAsiaTheme="minorEastAsia" w:hAnsiTheme="minorHAnsi" w:cstheme="minorBidi"/>
          <w:noProof/>
          <w:szCs w:val="22"/>
          <w:lang w:val="en-US" w:eastAsia="en-US"/>
        </w:rPr>
      </w:pPr>
      <w:hyperlink w:anchor="_Toc79827149" w:history="1">
        <w:r w:rsidR="00683887" w:rsidRPr="00A91CC1">
          <w:rPr>
            <w:rStyle w:val="Hyperlink"/>
            <w:noProof/>
          </w:rPr>
          <w:t>Table 6: Sector Expenditure – Budget Vs Actual</w:t>
        </w:r>
        <w:r w:rsidR="00683887">
          <w:rPr>
            <w:noProof/>
            <w:webHidden/>
          </w:rPr>
          <w:tab/>
        </w:r>
        <w:r w:rsidR="00683887">
          <w:rPr>
            <w:noProof/>
            <w:webHidden/>
          </w:rPr>
          <w:fldChar w:fldCharType="begin"/>
        </w:r>
        <w:r w:rsidR="00683887">
          <w:rPr>
            <w:noProof/>
            <w:webHidden/>
          </w:rPr>
          <w:instrText xml:space="preserve"> PAGEREF _Toc79827149 \h </w:instrText>
        </w:r>
        <w:r w:rsidR="00683887">
          <w:rPr>
            <w:noProof/>
            <w:webHidden/>
          </w:rPr>
        </w:r>
        <w:r w:rsidR="00683887">
          <w:rPr>
            <w:noProof/>
            <w:webHidden/>
          </w:rPr>
          <w:fldChar w:fldCharType="separate"/>
        </w:r>
        <w:r w:rsidR="00683887">
          <w:rPr>
            <w:noProof/>
            <w:webHidden/>
          </w:rPr>
          <w:t>24</w:t>
        </w:r>
        <w:r w:rsidR="00683887">
          <w:rPr>
            <w:noProof/>
            <w:webHidden/>
          </w:rPr>
          <w:fldChar w:fldCharType="end"/>
        </w:r>
      </w:hyperlink>
    </w:p>
    <w:p w:rsidR="00683887" w:rsidRDefault="001A0326">
      <w:pPr>
        <w:pStyle w:val="TableofFigures"/>
        <w:tabs>
          <w:tab w:val="right" w:leader="dot" w:pos="8296"/>
        </w:tabs>
        <w:rPr>
          <w:rFonts w:asciiTheme="minorHAnsi" w:eastAsiaTheme="minorEastAsia" w:hAnsiTheme="minorHAnsi" w:cstheme="minorBidi"/>
          <w:noProof/>
          <w:szCs w:val="22"/>
          <w:lang w:val="en-US" w:eastAsia="en-US"/>
        </w:rPr>
      </w:pPr>
      <w:hyperlink w:anchor="_Toc79827150" w:history="1">
        <w:r w:rsidR="00683887" w:rsidRPr="00A91CC1">
          <w:rPr>
            <w:rStyle w:val="Hyperlink"/>
            <w:noProof/>
          </w:rPr>
          <w:t>Table 7: Debt Position as at 31</w:t>
        </w:r>
        <w:r w:rsidR="00683887" w:rsidRPr="00A91CC1">
          <w:rPr>
            <w:rStyle w:val="Hyperlink"/>
            <w:noProof/>
            <w:vertAlign w:val="superscript"/>
          </w:rPr>
          <w:t>st</w:t>
        </w:r>
        <w:r w:rsidR="00683887" w:rsidRPr="00A91CC1">
          <w:rPr>
            <w:rStyle w:val="Hyperlink"/>
            <w:noProof/>
          </w:rPr>
          <w:t xml:space="preserve"> December 2020</w:t>
        </w:r>
        <w:r w:rsidR="00683887">
          <w:rPr>
            <w:noProof/>
            <w:webHidden/>
          </w:rPr>
          <w:tab/>
        </w:r>
        <w:r w:rsidR="00683887">
          <w:rPr>
            <w:noProof/>
            <w:webHidden/>
          </w:rPr>
          <w:fldChar w:fldCharType="begin"/>
        </w:r>
        <w:r w:rsidR="00683887">
          <w:rPr>
            <w:noProof/>
            <w:webHidden/>
          </w:rPr>
          <w:instrText xml:space="preserve"> PAGEREF _Toc79827150 \h </w:instrText>
        </w:r>
        <w:r w:rsidR="00683887">
          <w:rPr>
            <w:noProof/>
            <w:webHidden/>
          </w:rPr>
        </w:r>
        <w:r w:rsidR="00683887">
          <w:rPr>
            <w:noProof/>
            <w:webHidden/>
          </w:rPr>
          <w:fldChar w:fldCharType="separate"/>
        </w:r>
        <w:r w:rsidR="00683887">
          <w:rPr>
            <w:noProof/>
            <w:webHidden/>
          </w:rPr>
          <w:t>25</w:t>
        </w:r>
        <w:r w:rsidR="00683887">
          <w:rPr>
            <w:noProof/>
            <w:webHidden/>
          </w:rPr>
          <w:fldChar w:fldCharType="end"/>
        </w:r>
      </w:hyperlink>
    </w:p>
    <w:p w:rsidR="00683887" w:rsidRDefault="001A0326">
      <w:pPr>
        <w:pStyle w:val="TableofFigures"/>
        <w:tabs>
          <w:tab w:val="right" w:leader="dot" w:pos="8296"/>
        </w:tabs>
        <w:rPr>
          <w:rFonts w:asciiTheme="minorHAnsi" w:eastAsiaTheme="minorEastAsia" w:hAnsiTheme="minorHAnsi" w:cstheme="minorBidi"/>
          <w:noProof/>
          <w:szCs w:val="22"/>
          <w:lang w:val="en-US" w:eastAsia="en-US"/>
        </w:rPr>
      </w:pPr>
      <w:hyperlink w:anchor="_Toc79827151" w:history="1">
        <w:r w:rsidR="00683887" w:rsidRPr="00A91CC1">
          <w:rPr>
            <w:rStyle w:val="Hyperlink"/>
            <w:noProof/>
          </w:rPr>
          <w:t>Table 8: Kogi State Medium Term Fiscal Framework</w:t>
        </w:r>
        <w:r w:rsidR="00683887">
          <w:rPr>
            <w:noProof/>
            <w:webHidden/>
          </w:rPr>
          <w:tab/>
        </w:r>
        <w:r w:rsidR="00683887">
          <w:rPr>
            <w:noProof/>
            <w:webHidden/>
          </w:rPr>
          <w:fldChar w:fldCharType="begin"/>
        </w:r>
        <w:r w:rsidR="00683887">
          <w:rPr>
            <w:noProof/>
            <w:webHidden/>
          </w:rPr>
          <w:instrText xml:space="preserve"> PAGEREF _Toc79827151 \h </w:instrText>
        </w:r>
        <w:r w:rsidR="00683887">
          <w:rPr>
            <w:noProof/>
            <w:webHidden/>
          </w:rPr>
        </w:r>
        <w:r w:rsidR="00683887">
          <w:rPr>
            <w:noProof/>
            <w:webHidden/>
          </w:rPr>
          <w:fldChar w:fldCharType="separate"/>
        </w:r>
        <w:r w:rsidR="00683887">
          <w:rPr>
            <w:noProof/>
            <w:webHidden/>
          </w:rPr>
          <w:t>28</w:t>
        </w:r>
        <w:r w:rsidR="00683887">
          <w:rPr>
            <w:noProof/>
            <w:webHidden/>
          </w:rPr>
          <w:fldChar w:fldCharType="end"/>
        </w:r>
      </w:hyperlink>
    </w:p>
    <w:p w:rsidR="00683887" w:rsidRDefault="001A0326">
      <w:pPr>
        <w:pStyle w:val="TableofFigures"/>
        <w:tabs>
          <w:tab w:val="right" w:leader="dot" w:pos="8296"/>
        </w:tabs>
        <w:rPr>
          <w:rFonts w:asciiTheme="minorHAnsi" w:eastAsiaTheme="minorEastAsia" w:hAnsiTheme="minorHAnsi" w:cstheme="minorBidi"/>
          <w:noProof/>
          <w:szCs w:val="22"/>
          <w:lang w:val="en-US" w:eastAsia="en-US"/>
        </w:rPr>
      </w:pPr>
      <w:hyperlink w:anchor="_Toc79827152" w:history="1">
        <w:r w:rsidR="00683887" w:rsidRPr="00A91CC1">
          <w:rPr>
            <w:rStyle w:val="Hyperlink"/>
            <w:noProof/>
          </w:rPr>
          <w:t>Table 9: Fiscal Risks</w:t>
        </w:r>
        <w:r w:rsidR="00683887">
          <w:rPr>
            <w:noProof/>
            <w:webHidden/>
          </w:rPr>
          <w:tab/>
        </w:r>
        <w:r w:rsidR="00683887">
          <w:rPr>
            <w:noProof/>
            <w:webHidden/>
          </w:rPr>
          <w:fldChar w:fldCharType="begin"/>
        </w:r>
        <w:r w:rsidR="00683887">
          <w:rPr>
            <w:noProof/>
            <w:webHidden/>
          </w:rPr>
          <w:instrText xml:space="preserve"> PAGEREF _Toc79827152 \h </w:instrText>
        </w:r>
        <w:r w:rsidR="00683887">
          <w:rPr>
            <w:noProof/>
            <w:webHidden/>
          </w:rPr>
        </w:r>
        <w:r w:rsidR="00683887">
          <w:rPr>
            <w:noProof/>
            <w:webHidden/>
          </w:rPr>
          <w:fldChar w:fldCharType="separate"/>
        </w:r>
        <w:r w:rsidR="00683887">
          <w:rPr>
            <w:noProof/>
            <w:webHidden/>
          </w:rPr>
          <w:t>32</w:t>
        </w:r>
        <w:r w:rsidR="00683887">
          <w:rPr>
            <w:noProof/>
            <w:webHidden/>
          </w:rPr>
          <w:fldChar w:fldCharType="end"/>
        </w:r>
      </w:hyperlink>
    </w:p>
    <w:p w:rsidR="00A76322" w:rsidRDefault="00DF033A" w:rsidP="00A76322">
      <w:r>
        <w:fldChar w:fldCharType="end"/>
      </w:r>
    </w:p>
    <w:p w:rsidR="008D6B91" w:rsidRDefault="00A76322" w:rsidP="000E2938">
      <w:pPr>
        <w:pStyle w:val="TOCHeader"/>
      </w:pPr>
      <w:r>
        <w:t>List of Figures</w:t>
      </w:r>
    </w:p>
    <w:p w:rsidR="00A20A14" w:rsidRDefault="00683887">
      <w:pPr>
        <w:pStyle w:val="TableofFigures"/>
        <w:tabs>
          <w:tab w:val="right" w:leader="dot" w:pos="8296"/>
        </w:tabs>
        <w:rPr>
          <w:rFonts w:asciiTheme="minorHAnsi" w:eastAsiaTheme="minorEastAsia" w:hAnsiTheme="minorHAnsi" w:cstheme="minorBidi"/>
          <w:noProof/>
          <w:szCs w:val="22"/>
          <w:lang w:val="en-US" w:eastAsia="en-US"/>
        </w:rPr>
      </w:pPr>
      <w:r>
        <w:rPr>
          <w:rFonts w:cs="Tahoma"/>
        </w:rPr>
        <w:fldChar w:fldCharType="begin"/>
      </w:r>
      <w:r>
        <w:rPr>
          <w:rFonts w:cs="Tahoma"/>
        </w:rPr>
        <w:instrText xml:space="preserve"> TOC \h \z \c "Figure" </w:instrText>
      </w:r>
      <w:r>
        <w:rPr>
          <w:rFonts w:cs="Tahoma"/>
        </w:rPr>
        <w:fldChar w:fldCharType="separate"/>
      </w:r>
      <w:hyperlink w:anchor="_Toc79828551" w:history="1">
        <w:r w:rsidR="00A20A14" w:rsidRPr="00C524E0">
          <w:rPr>
            <w:rStyle w:val="Hyperlink"/>
            <w:rFonts w:ascii="Arial Black" w:hAnsi="Arial Black"/>
            <w:noProof/>
          </w:rPr>
          <w:t>Figure 1: MTEF Process</w:t>
        </w:r>
        <w:r w:rsidR="00A20A14">
          <w:rPr>
            <w:noProof/>
            <w:webHidden/>
          </w:rPr>
          <w:tab/>
        </w:r>
        <w:r w:rsidR="00A20A14">
          <w:rPr>
            <w:noProof/>
            <w:webHidden/>
          </w:rPr>
          <w:fldChar w:fldCharType="begin"/>
        </w:r>
        <w:r w:rsidR="00A20A14">
          <w:rPr>
            <w:noProof/>
            <w:webHidden/>
          </w:rPr>
          <w:instrText xml:space="preserve"> PAGEREF _Toc79828551 \h </w:instrText>
        </w:r>
        <w:r w:rsidR="00A20A14">
          <w:rPr>
            <w:noProof/>
            <w:webHidden/>
          </w:rPr>
        </w:r>
        <w:r w:rsidR="00A20A14">
          <w:rPr>
            <w:noProof/>
            <w:webHidden/>
          </w:rPr>
          <w:fldChar w:fldCharType="separate"/>
        </w:r>
        <w:r w:rsidR="00A20A14">
          <w:rPr>
            <w:noProof/>
            <w:webHidden/>
          </w:rPr>
          <w:t>2</w:t>
        </w:r>
        <w:r w:rsidR="00A20A14">
          <w:rPr>
            <w:noProof/>
            <w:webHidden/>
          </w:rPr>
          <w:fldChar w:fldCharType="end"/>
        </w:r>
      </w:hyperlink>
    </w:p>
    <w:p w:rsidR="00A20A14" w:rsidRDefault="001A0326">
      <w:pPr>
        <w:pStyle w:val="TableofFigures"/>
        <w:tabs>
          <w:tab w:val="right" w:leader="dot" w:pos="8296"/>
        </w:tabs>
        <w:rPr>
          <w:rFonts w:asciiTheme="minorHAnsi" w:eastAsiaTheme="minorEastAsia" w:hAnsiTheme="minorHAnsi" w:cstheme="minorBidi"/>
          <w:noProof/>
          <w:szCs w:val="22"/>
          <w:lang w:val="en-US" w:eastAsia="en-US"/>
        </w:rPr>
      </w:pPr>
      <w:hyperlink w:anchor="_Toc79828552" w:history="1">
        <w:r w:rsidR="00A20A14" w:rsidRPr="00C524E0">
          <w:rPr>
            <w:rStyle w:val="Hyperlink"/>
            <w:rFonts w:ascii="Arial Black" w:hAnsi="Arial Black"/>
            <w:noProof/>
          </w:rPr>
          <w:t>Figure 2: Statutory Allocation</w:t>
        </w:r>
        <w:r w:rsidR="00A20A14">
          <w:rPr>
            <w:noProof/>
            <w:webHidden/>
          </w:rPr>
          <w:tab/>
        </w:r>
        <w:r w:rsidR="00A20A14">
          <w:rPr>
            <w:noProof/>
            <w:webHidden/>
          </w:rPr>
          <w:fldChar w:fldCharType="begin"/>
        </w:r>
        <w:r w:rsidR="00A20A14">
          <w:rPr>
            <w:noProof/>
            <w:webHidden/>
          </w:rPr>
          <w:instrText xml:space="preserve"> PAGEREF _Toc79828552 \h </w:instrText>
        </w:r>
        <w:r w:rsidR="00A20A14">
          <w:rPr>
            <w:noProof/>
            <w:webHidden/>
          </w:rPr>
        </w:r>
        <w:r w:rsidR="00A20A14">
          <w:rPr>
            <w:noProof/>
            <w:webHidden/>
          </w:rPr>
          <w:fldChar w:fldCharType="separate"/>
        </w:r>
        <w:r w:rsidR="00A20A14">
          <w:rPr>
            <w:noProof/>
            <w:webHidden/>
          </w:rPr>
          <w:t>16</w:t>
        </w:r>
        <w:r w:rsidR="00A20A14">
          <w:rPr>
            <w:noProof/>
            <w:webHidden/>
          </w:rPr>
          <w:fldChar w:fldCharType="end"/>
        </w:r>
      </w:hyperlink>
    </w:p>
    <w:p w:rsidR="00A20A14" w:rsidRDefault="001A0326">
      <w:pPr>
        <w:pStyle w:val="TableofFigures"/>
        <w:tabs>
          <w:tab w:val="right" w:leader="dot" w:pos="8296"/>
        </w:tabs>
        <w:rPr>
          <w:rFonts w:asciiTheme="minorHAnsi" w:eastAsiaTheme="minorEastAsia" w:hAnsiTheme="minorHAnsi" w:cstheme="minorBidi"/>
          <w:noProof/>
          <w:szCs w:val="22"/>
          <w:lang w:val="en-US" w:eastAsia="en-US"/>
        </w:rPr>
      </w:pPr>
      <w:hyperlink w:anchor="_Toc79828553" w:history="1">
        <w:r w:rsidR="00A20A14" w:rsidRPr="00C524E0">
          <w:rPr>
            <w:rStyle w:val="Hyperlink"/>
            <w:rFonts w:ascii="Arial Black" w:hAnsi="Arial Black"/>
            <w:noProof/>
          </w:rPr>
          <w:t>Figure 3: VAT</w:t>
        </w:r>
        <w:r w:rsidR="00A20A14">
          <w:rPr>
            <w:noProof/>
            <w:webHidden/>
          </w:rPr>
          <w:tab/>
        </w:r>
        <w:r w:rsidR="00A20A14">
          <w:rPr>
            <w:noProof/>
            <w:webHidden/>
          </w:rPr>
          <w:fldChar w:fldCharType="begin"/>
        </w:r>
        <w:r w:rsidR="00A20A14">
          <w:rPr>
            <w:noProof/>
            <w:webHidden/>
          </w:rPr>
          <w:instrText xml:space="preserve"> PAGEREF _Toc79828553 \h </w:instrText>
        </w:r>
        <w:r w:rsidR="00A20A14">
          <w:rPr>
            <w:noProof/>
            <w:webHidden/>
          </w:rPr>
        </w:r>
        <w:r w:rsidR="00A20A14">
          <w:rPr>
            <w:noProof/>
            <w:webHidden/>
          </w:rPr>
          <w:fldChar w:fldCharType="separate"/>
        </w:r>
        <w:r w:rsidR="00A20A14">
          <w:rPr>
            <w:noProof/>
            <w:webHidden/>
          </w:rPr>
          <w:t>17</w:t>
        </w:r>
        <w:r w:rsidR="00A20A14">
          <w:rPr>
            <w:noProof/>
            <w:webHidden/>
          </w:rPr>
          <w:fldChar w:fldCharType="end"/>
        </w:r>
      </w:hyperlink>
    </w:p>
    <w:p w:rsidR="00A20A14" w:rsidRDefault="001A0326">
      <w:pPr>
        <w:pStyle w:val="TableofFigures"/>
        <w:tabs>
          <w:tab w:val="right" w:leader="dot" w:pos="8296"/>
        </w:tabs>
        <w:rPr>
          <w:rFonts w:asciiTheme="minorHAnsi" w:eastAsiaTheme="minorEastAsia" w:hAnsiTheme="minorHAnsi" w:cstheme="minorBidi"/>
          <w:noProof/>
          <w:szCs w:val="22"/>
          <w:lang w:val="en-US" w:eastAsia="en-US"/>
        </w:rPr>
      </w:pPr>
      <w:hyperlink w:anchor="_Toc79828554" w:history="1">
        <w:r w:rsidR="00A20A14" w:rsidRPr="00C524E0">
          <w:rPr>
            <w:rStyle w:val="Hyperlink"/>
            <w:rFonts w:ascii="Arial Black" w:hAnsi="Arial Black"/>
            <w:b/>
            <w:bCs/>
            <w:noProof/>
          </w:rPr>
          <w:t>Figure 4:</w:t>
        </w:r>
        <w:r w:rsidR="00A20A14" w:rsidRPr="00C524E0">
          <w:rPr>
            <w:rStyle w:val="Hyperlink"/>
            <w:rFonts w:ascii="Arial Black" w:hAnsi="Arial Black"/>
            <w:noProof/>
          </w:rPr>
          <w:t xml:space="preserve"> Excess Crude/Other FA Receipts.</w:t>
        </w:r>
        <w:r w:rsidR="00A20A14">
          <w:rPr>
            <w:noProof/>
            <w:webHidden/>
          </w:rPr>
          <w:tab/>
        </w:r>
        <w:r w:rsidR="00A20A14">
          <w:rPr>
            <w:noProof/>
            <w:webHidden/>
          </w:rPr>
          <w:fldChar w:fldCharType="begin"/>
        </w:r>
        <w:r w:rsidR="00A20A14">
          <w:rPr>
            <w:noProof/>
            <w:webHidden/>
          </w:rPr>
          <w:instrText xml:space="preserve"> PAGEREF _Toc79828554 \h </w:instrText>
        </w:r>
        <w:r w:rsidR="00A20A14">
          <w:rPr>
            <w:noProof/>
            <w:webHidden/>
          </w:rPr>
        </w:r>
        <w:r w:rsidR="00A20A14">
          <w:rPr>
            <w:noProof/>
            <w:webHidden/>
          </w:rPr>
          <w:fldChar w:fldCharType="separate"/>
        </w:r>
        <w:r w:rsidR="00A20A14">
          <w:rPr>
            <w:noProof/>
            <w:webHidden/>
          </w:rPr>
          <w:t>17</w:t>
        </w:r>
        <w:r w:rsidR="00A20A14">
          <w:rPr>
            <w:noProof/>
            <w:webHidden/>
          </w:rPr>
          <w:fldChar w:fldCharType="end"/>
        </w:r>
      </w:hyperlink>
    </w:p>
    <w:p w:rsidR="00A20A14" w:rsidRDefault="001A0326">
      <w:pPr>
        <w:pStyle w:val="TableofFigures"/>
        <w:tabs>
          <w:tab w:val="right" w:leader="dot" w:pos="8296"/>
        </w:tabs>
        <w:rPr>
          <w:rFonts w:asciiTheme="minorHAnsi" w:eastAsiaTheme="minorEastAsia" w:hAnsiTheme="minorHAnsi" w:cstheme="minorBidi"/>
          <w:noProof/>
          <w:szCs w:val="22"/>
          <w:lang w:val="en-US" w:eastAsia="en-US"/>
        </w:rPr>
      </w:pPr>
      <w:hyperlink w:anchor="_Toc79828555" w:history="1">
        <w:r w:rsidR="00A20A14" w:rsidRPr="00C524E0">
          <w:rPr>
            <w:rStyle w:val="Hyperlink"/>
            <w:rFonts w:ascii="Arial Black" w:hAnsi="Arial Black"/>
            <w:noProof/>
          </w:rPr>
          <w:t>Figure 5: IGR</w:t>
        </w:r>
        <w:r w:rsidR="00A20A14">
          <w:rPr>
            <w:noProof/>
            <w:webHidden/>
          </w:rPr>
          <w:tab/>
        </w:r>
        <w:r w:rsidR="00A20A14">
          <w:rPr>
            <w:noProof/>
            <w:webHidden/>
          </w:rPr>
          <w:fldChar w:fldCharType="begin"/>
        </w:r>
        <w:r w:rsidR="00A20A14">
          <w:rPr>
            <w:noProof/>
            <w:webHidden/>
          </w:rPr>
          <w:instrText xml:space="preserve"> PAGEREF _Toc79828555 \h </w:instrText>
        </w:r>
        <w:r w:rsidR="00A20A14">
          <w:rPr>
            <w:noProof/>
            <w:webHidden/>
          </w:rPr>
        </w:r>
        <w:r w:rsidR="00A20A14">
          <w:rPr>
            <w:noProof/>
            <w:webHidden/>
          </w:rPr>
          <w:fldChar w:fldCharType="separate"/>
        </w:r>
        <w:r w:rsidR="00A20A14">
          <w:rPr>
            <w:noProof/>
            <w:webHidden/>
          </w:rPr>
          <w:t>18</w:t>
        </w:r>
        <w:r w:rsidR="00A20A14">
          <w:rPr>
            <w:noProof/>
            <w:webHidden/>
          </w:rPr>
          <w:fldChar w:fldCharType="end"/>
        </w:r>
      </w:hyperlink>
    </w:p>
    <w:p w:rsidR="00A20A14" w:rsidRDefault="001A0326">
      <w:pPr>
        <w:pStyle w:val="TableofFigures"/>
        <w:tabs>
          <w:tab w:val="right" w:leader="dot" w:pos="8296"/>
        </w:tabs>
        <w:rPr>
          <w:rFonts w:asciiTheme="minorHAnsi" w:eastAsiaTheme="minorEastAsia" w:hAnsiTheme="minorHAnsi" w:cstheme="minorBidi"/>
          <w:noProof/>
          <w:szCs w:val="22"/>
          <w:lang w:val="en-US" w:eastAsia="en-US"/>
        </w:rPr>
      </w:pPr>
      <w:hyperlink w:anchor="_Toc79828556" w:history="1">
        <w:r w:rsidR="00A20A14" w:rsidRPr="00C524E0">
          <w:rPr>
            <w:rStyle w:val="Hyperlink"/>
            <w:rFonts w:ascii="Arial Black" w:hAnsi="Arial Black"/>
            <w:noProof/>
          </w:rPr>
          <w:t>Figure 6: Grants</w:t>
        </w:r>
        <w:r w:rsidR="00A20A14">
          <w:rPr>
            <w:noProof/>
            <w:webHidden/>
          </w:rPr>
          <w:tab/>
        </w:r>
        <w:r w:rsidR="00A20A14">
          <w:rPr>
            <w:noProof/>
            <w:webHidden/>
          </w:rPr>
          <w:fldChar w:fldCharType="begin"/>
        </w:r>
        <w:r w:rsidR="00A20A14">
          <w:rPr>
            <w:noProof/>
            <w:webHidden/>
          </w:rPr>
          <w:instrText xml:space="preserve"> PAGEREF _Toc79828556 \h </w:instrText>
        </w:r>
        <w:r w:rsidR="00A20A14">
          <w:rPr>
            <w:noProof/>
            <w:webHidden/>
          </w:rPr>
        </w:r>
        <w:r w:rsidR="00A20A14">
          <w:rPr>
            <w:noProof/>
            <w:webHidden/>
          </w:rPr>
          <w:fldChar w:fldCharType="separate"/>
        </w:r>
        <w:r w:rsidR="00A20A14">
          <w:rPr>
            <w:noProof/>
            <w:webHidden/>
          </w:rPr>
          <w:t>18</w:t>
        </w:r>
        <w:r w:rsidR="00A20A14">
          <w:rPr>
            <w:noProof/>
            <w:webHidden/>
          </w:rPr>
          <w:fldChar w:fldCharType="end"/>
        </w:r>
      </w:hyperlink>
    </w:p>
    <w:p w:rsidR="00A20A14" w:rsidRDefault="001A0326">
      <w:pPr>
        <w:pStyle w:val="TableofFigures"/>
        <w:tabs>
          <w:tab w:val="right" w:leader="dot" w:pos="8296"/>
        </w:tabs>
        <w:rPr>
          <w:rFonts w:asciiTheme="minorHAnsi" w:eastAsiaTheme="minorEastAsia" w:hAnsiTheme="minorHAnsi" w:cstheme="minorBidi"/>
          <w:noProof/>
          <w:szCs w:val="22"/>
          <w:lang w:val="en-US" w:eastAsia="en-US"/>
        </w:rPr>
      </w:pPr>
      <w:hyperlink w:anchor="_Toc79828557" w:history="1">
        <w:r w:rsidR="00A20A14" w:rsidRPr="00C524E0">
          <w:rPr>
            <w:rStyle w:val="Hyperlink"/>
            <w:rFonts w:ascii="Arial Black" w:hAnsi="Arial Black"/>
            <w:noProof/>
          </w:rPr>
          <w:t>Figure 7: Loans / Financing</w:t>
        </w:r>
        <w:r w:rsidR="00A20A14">
          <w:rPr>
            <w:noProof/>
            <w:webHidden/>
          </w:rPr>
          <w:tab/>
        </w:r>
        <w:r w:rsidR="00A20A14">
          <w:rPr>
            <w:noProof/>
            <w:webHidden/>
          </w:rPr>
          <w:fldChar w:fldCharType="begin"/>
        </w:r>
        <w:r w:rsidR="00A20A14">
          <w:rPr>
            <w:noProof/>
            <w:webHidden/>
          </w:rPr>
          <w:instrText xml:space="preserve"> PAGEREF _Toc79828557 \h </w:instrText>
        </w:r>
        <w:r w:rsidR="00A20A14">
          <w:rPr>
            <w:noProof/>
            <w:webHidden/>
          </w:rPr>
        </w:r>
        <w:r w:rsidR="00A20A14">
          <w:rPr>
            <w:noProof/>
            <w:webHidden/>
          </w:rPr>
          <w:fldChar w:fldCharType="separate"/>
        </w:r>
        <w:r w:rsidR="00A20A14">
          <w:rPr>
            <w:noProof/>
            <w:webHidden/>
          </w:rPr>
          <w:t>19</w:t>
        </w:r>
        <w:r w:rsidR="00A20A14">
          <w:rPr>
            <w:noProof/>
            <w:webHidden/>
          </w:rPr>
          <w:fldChar w:fldCharType="end"/>
        </w:r>
      </w:hyperlink>
    </w:p>
    <w:p w:rsidR="00A20A14" w:rsidRDefault="001A0326">
      <w:pPr>
        <w:pStyle w:val="TableofFigures"/>
        <w:tabs>
          <w:tab w:val="right" w:leader="dot" w:pos="8296"/>
        </w:tabs>
        <w:rPr>
          <w:rFonts w:asciiTheme="minorHAnsi" w:eastAsiaTheme="minorEastAsia" w:hAnsiTheme="minorHAnsi" w:cstheme="minorBidi"/>
          <w:noProof/>
          <w:szCs w:val="22"/>
          <w:lang w:val="en-US" w:eastAsia="en-US"/>
        </w:rPr>
      </w:pPr>
      <w:hyperlink w:anchor="_Toc79828558" w:history="1">
        <w:r w:rsidR="00A20A14" w:rsidRPr="00C524E0">
          <w:rPr>
            <w:rStyle w:val="Hyperlink"/>
            <w:rFonts w:ascii="Arial Black" w:hAnsi="Arial Black"/>
            <w:noProof/>
          </w:rPr>
          <w:t>Figure 8: CRF Charges</w:t>
        </w:r>
        <w:r w:rsidR="00A20A14">
          <w:rPr>
            <w:noProof/>
            <w:webHidden/>
          </w:rPr>
          <w:tab/>
        </w:r>
        <w:r w:rsidR="00A20A14">
          <w:rPr>
            <w:noProof/>
            <w:webHidden/>
          </w:rPr>
          <w:fldChar w:fldCharType="begin"/>
        </w:r>
        <w:r w:rsidR="00A20A14">
          <w:rPr>
            <w:noProof/>
            <w:webHidden/>
          </w:rPr>
          <w:instrText xml:space="preserve"> PAGEREF _Toc79828558 \h </w:instrText>
        </w:r>
        <w:r w:rsidR="00A20A14">
          <w:rPr>
            <w:noProof/>
            <w:webHidden/>
          </w:rPr>
        </w:r>
        <w:r w:rsidR="00A20A14">
          <w:rPr>
            <w:noProof/>
            <w:webHidden/>
          </w:rPr>
          <w:fldChar w:fldCharType="separate"/>
        </w:r>
        <w:r w:rsidR="00A20A14">
          <w:rPr>
            <w:noProof/>
            <w:webHidden/>
          </w:rPr>
          <w:t>20</w:t>
        </w:r>
        <w:r w:rsidR="00A20A14">
          <w:rPr>
            <w:noProof/>
            <w:webHidden/>
          </w:rPr>
          <w:fldChar w:fldCharType="end"/>
        </w:r>
      </w:hyperlink>
    </w:p>
    <w:p w:rsidR="00A20A14" w:rsidRDefault="001A0326">
      <w:pPr>
        <w:pStyle w:val="TableofFigures"/>
        <w:tabs>
          <w:tab w:val="right" w:leader="dot" w:pos="8296"/>
        </w:tabs>
        <w:rPr>
          <w:rFonts w:asciiTheme="minorHAnsi" w:eastAsiaTheme="minorEastAsia" w:hAnsiTheme="minorHAnsi" w:cstheme="minorBidi"/>
          <w:noProof/>
          <w:szCs w:val="22"/>
          <w:lang w:val="en-US" w:eastAsia="en-US"/>
        </w:rPr>
      </w:pPr>
      <w:hyperlink w:anchor="_Toc79828559" w:history="1">
        <w:r w:rsidR="00A20A14" w:rsidRPr="00C524E0">
          <w:rPr>
            <w:rStyle w:val="Hyperlink"/>
            <w:rFonts w:ascii="Arial Black" w:hAnsi="Arial Black"/>
            <w:noProof/>
          </w:rPr>
          <w:t>Figure 9: Personnel</w:t>
        </w:r>
        <w:r w:rsidR="00A20A14">
          <w:rPr>
            <w:noProof/>
            <w:webHidden/>
          </w:rPr>
          <w:tab/>
        </w:r>
        <w:r w:rsidR="00A20A14">
          <w:rPr>
            <w:noProof/>
            <w:webHidden/>
          </w:rPr>
          <w:fldChar w:fldCharType="begin"/>
        </w:r>
        <w:r w:rsidR="00A20A14">
          <w:rPr>
            <w:noProof/>
            <w:webHidden/>
          </w:rPr>
          <w:instrText xml:space="preserve"> PAGEREF _Toc79828559 \h </w:instrText>
        </w:r>
        <w:r w:rsidR="00A20A14">
          <w:rPr>
            <w:noProof/>
            <w:webHidden/>
          </w:rPr>
        </w:r>
        <w:r w:rsidR="00A20A14">
          <w:rPr>
            <w:noProof/>
            <w:webHidden/>
          </w:rPr>
          <w:fldChar w:fldCharType="separate"/>
        </w:r>
        <w:r w:rsidR="00A20A14">
          <w:rPr>
            <w:noProof/>
            <w:webHidden/>
          </w:rPr>
          <w:t>20</w:t>
        </w:r>
        <w:r w:rsidR="00A20A14">
          <w:rPr>
            <w:noProof/>
            <w:webHidden/>
          </w:rPr>
          <w:fldChar w:fldCharType="end"/>
        </w:r>
      </w:hyperlink>
    </w:p>
    <w:p w:rsidR="00A20A14" w:rsidRDefault="001A0326">
      <w:pPr>
        <w:pStyle w:val="TableofFigures"/>
        <w:tabs>
          <w:tab w:val="right" w:leader="dot" w:pos="8296"/>
        </w:tabs>
        <w:rPr>
          <w:rFonts w:asciiTheme="minorHAnsi" w:eastAsiaTheme="minorEastAsia" w:hAnsiTheme="minorHAnsi" w:cstheme="minorBidi"/>
          <w:noProof/>
          <w:szCs w:val="22"/>
          <w:lang w:val="en-US" w:eastAsia="en-US"/>
        </w:rPr>
      </w:pPr>
      <w:hyperlink w:anchor="_Toc79828560" w:history="1">
        <w:r w:rsidR="00A20A14" w:rsidRPr="00C524E0">
          <w:rPr>
            <w:rStyle w:val="Hyperlink"/>
            <w:rFonts w:ascii="Arial Black" w:hAnsi="Arial Black"/>
            <w:noProof/>
          </w:rPr>
          <w:t>Figure 10: Overhead Expenditure</w:t>
        </w:r>
        <w:r w:rsidR="00A20A14">
          <w:rPr>
            <w:noProof/>
            <w:webHidden/>
          </w:rPr>
          <w:tab/>
        </w:r>
        <w:r w:rsidR="00A20A14">
          <w:rPr>
            <w:noProof/>
            <w:webHidden/>
          </w:rPr>
          <w:fldChar w:fldCharType="begin"/>
        </w:r>
        <w:r w:rsidR="00A20A14">
          <w:rPr>
            <w:noProof/>
            <w:webHidden/>
          </w:rPr>
          <w:instrText xml:space="preserve"> PAGEREF _Toc79828560 \h </w:instrText>
        </w:r>
        <w:r w:rsidR="00A20A14">
          <w:rPr>
            <w:noProof/>
            <w:webHidden/>
          </w:rPr>
        </w:r>
        <w:r w:rsidR="00A20A14">
          <w:rPr>
            <w:noProof/>
            <w:webHidden/>
          </w:rPr>
          <w:fldChar w:fldCharType="separate"/>
        </w:r>
        <w:r w:rsidR="00A20A14">
          <w:rPr>
            <w:noProof/>
            <w:webHidden/>
          </w:rPr>
          <w:t>21</w:t>
        </w:r>
        <w:r w:rsidR="00A20A14">
          <w:rPr>
            <w:noProof/>
            <w:webHidden/>
          </w:rPr>
          <w:fldChar w:fldCharType="end"/>
        </w:r>
      </w:hyperlink>
    </w:p>
    <w:p w:rsidR="00A20A14" w:rsidRDefault="001A0326">
      <w:pPr>
        <w:pStyle w:val="TableofFigures"/>
        <w:tabs>
          <w:tab w:val="right" w:leader="dot" w:pos="8296"/>
        </w:tabs>
        <w:rPr>
          <w:rFonts w:asciiTheme="minorHAnsi" w:eastAsiaTheme="minorEastAsia" w:hAnsiTheme="minorHAnsi" w:cstheme="minorBidi"/>
          <w:noProof/>
          <w:szCs w:val="22"/>
          <w:lang w:val="en-US" w:eastAsia="en-US"/>
        </w:rPr>
      </w:pPr>
      <w:hyperlink w:anchor="_Toc79828561" w:history="1">
        <w:r w:rsidR="00A20A14" w:rsidRPr="00C524E0">
          <w:rPr>
            <w:rStyle w:val="Hyperlink"/>
            <w:rFonts w:ascii="Arial Black" w:hAnsi="Arial Black"/>
            <w:noProof/>
          </w:rPr>
          <w:t>Figure 11: Capital Expenditure</w:t>
        </w:r>
        <w:r w:rsidR="00A20A14">
          <w:rPr>
            <w:noProof/>
            <w:webHidden/>
          </w:rPr>
          <w:tab/>
        </w:r>
        <w:r w:rsidR="00A20A14">
          <w:rPr>
            <w:noProof/>
            <w:webHidden/>
          </w:rPr>
          <w:fldChar w:fldCharType="begin"/>
        </w:r>
        <w:r w:rsidR="00A20A14">
          <w:rPr>
            <w:noProof/>
            <w:webHidden/>
          </w:rPr>
          <w:instrText xml:space="preserve"> PAGEREF _Toc79828561 \h </w:instrText>
        </w:r>
        <w:r w:rsidR="00A20A14">
          <w:rPr>
            <w:noProof/>
            <w:webHidden/>
          </w:rPr>
        </w:r>
        <w:r w:rsidR="00A20A14">
          <w:rPr>
            <w:noProof/>
            <w:webHidden/>
          </w:rPr>
          <w:fldChar w:fldCharType="separate"/>
        </w:r>
        <w:r w:rsidR="00A20A14">
          <w:rPr>
            <w:noProof/>
            <w:webHidden/>
          </w:rPr>
          <w:t>21</w:t>
        </w:r>
        <w:r w:rsidR="00A20A14">
          <w:rPr>
            <w:noProof/>
            <w:webHidden/>
          </w:rPr>
          <w:fldChar w:fldCharType="end"/>
        </w:r>
      </w:hyperlink>
    </w:p>
    <w:p w:rsidR="00A20A14" w:rsidRDefault="001A0326">
      <w:pPr>
        <w:pStyle w:val="TableofFigures"/>
        <w:tabs>
          <w:tab w:val="right" w:leader="dot" w:pos="8296"/>
        </w:tabs>
        <w:rPr>
          <w:rFonts w:asciiTheme="minorHAnsi" w:eastAsiaTheme="minorEastAsia" w:hAnsiTheme="minorHAnsi" w:cstheme="minorBidi"/>
          <w:noProof/>
          <w:szCs w:val="22"/>
          <w:lang w:val="en-US" w:eastAsia="en-US"/>
        </w:rPr>
      </w:pPr>
      <w:hyperlink w:anchor="_Toc79828562" w:history="1">
        <w:r w:rsidR="00A20A14" w:rsidRPr="00C524E0">
          <w:rPr>
            <w:rStyle w:val="Hyperlink"/>
            <w:rFonts w:ascii="Arial Black" w:hAnsi="Arial Black"/>
            <w:noProof/>
          </w:rPr>
          <w:t>Figure 12: Recurrent: Capital Expenditure Ratio</w:t>
        </w:r>
        <w:r w:rsidR="00A20A14">
          <w:rPr>
            <w:noProof/>
            <w:webHidden/>
          </w:rPr>
          <w:tab/>
        </w:r>
        <w:r w:rsidR="00A20A14">
          <w:rPr>
            <w:noProof/>
            <w:webHidden/>
          </w:rPr>
          <w:fldChar w:fldCharType="begin"/>
        </w:r>
        <w:r w:rsidR="00A20A14">
          <w:rPr>
            <w:noProof/>
            <w:webHidden/>
          </w:rPr>
          <w:instrText xml:space="preserve"> PAGEREF _Toc79828562 \h </w:instrText>
        </w:r>
        <w:r w:rsidR="00A20A14">
          <w:rPr>
            <w:noProof/>
            <w:webHidden/>
          </w:rPr>
        </w:r>
        <w:r w:rsidR="00A20A14">
          <w:rPr>
            <w:noProof/>
            <w:webHidden/>
          </w:rPr>
          <w:fldChar w:fldCharType="separate"/>
        </w:r>
        <w:r w:rsidR="00A20A14">
          <w:rPr>
            <w:noProof/>
            <w:webHidden/>
          </w:rPr>
          <w:t>22</w:t>
        </w:r>
        <w:r w:rsidR="00A20A14">
          <w:rPr>
            <w:noProof/>
            <w:webHidden/>
          </w:rPr>
          <w:fldChar w:fldCharType="end"/>
        </w:r>
      </w:hyperlink>
    </w:p>
    <w:p w:rsidR="00A20A14" w:rsidRDefault="001A0326">
      <w:pPr>
        <w:pStyle w:val="TableofFigures"/>
        <w:tabs>
          <w:tab w:val="right" w:leader="dot" w:pos="8296"/>
        </w:tabs>
        <w:rPr>
          <w:rFonts w:asciiTheme="minorHAnsi" w:eastAsiaTheme="minorEastAsia" w:hAnsiTheme="minorHAnsi" w:cstheme="minorBidi"/>
          <w:noProof/>
          <w:szCs w:val="22"/>
          <w:lang w:val="en-US" w:eastAsia="en-US"/>
        </w:rPr>
      </w:pPr>
      <w:hyperlink w:anchor="_Toc79828563" w:history="1">
        <w:r w:rsidR="00A20A14" w:rsidRPr="00C524E0">
          <w:rPr>
            <w:rStyle w:val="Hyperlink"/>
            <w:rFonts w:ascii="Arial Black" w:hAnsi="Arial Black"/>
            <w:noProof/>
          </w:rPr>
          <w:t xml:space="preserve">Figure </w:t>
        </w:r>
        <w:r w:rsidR="00A20A14" w:rsidRPr="00C524E0">
          <w:rPr>
            <w:rStyle w:val="Hyperlink"/>
            <w:rFonts w:ascii="Arial Black" w:hAnsi="Arial Black"/>
            <w:b/>
            <w:bCs/>
            <w:noProof/>
          </w:rPr>
          <w:t>13: Sector Expenditure Trend</w:t>
        </w:r>
        <w:r w:rsidR="00A20A14">
          <w:rPr>
            <w:noProof/>
            <w:webHidden/>
          </w:rPr>
          <w:tab/>
        </w:r>
        <w:r w:rsidR="00A20A14">
          <w:rPr>
            <w:noProof/>
            <w:webHidden/>
          </w:rPr>
          <w:fldChar w:fldCharType="begin"/>
        </w:r>
        <w:r w:rsidR="00A20A14">
          <w:rPr>
            <w:noProof/>
            <w:webHidden/>
          </w:rPr>
          <w:instrText xml:space="preserve"> PAGEREF _Toc79828563 \h </w:instrText>
        </w:r>
        <w:r w:rsidR="00A20A14">
          <w:rPr>
            <w:noProof/>
            <w:webHidden/>
          </w:rPr>
        </w:r>
        <w:r w:rsidR="00A20A14">
          <w:rPr>
            <w:noProof/>
            <w:webHidden/>
          </w:rPr>
          <w:fldChar w:fldCharType="separate"/>
        </w:r>
        <w:r w:rsidR="00A20A14">
          <w:rPr>
            <w:noProof/>
            <w:webHidden/>
          </w:rPr>
          <w:t>22</w:t>
        </w:r>
        <w:r w:rsidR="00A20A14">
          <w:rPr>
            <w:noProof/>
            <w:webHidden/>
          </w:rPr>
          <w:fldChar w:fldCharType="end"/>
        </w:r>
      </w:hyperlink>
    </w:p>
    <w:p w:rsidR="00A20A14" w:rsidRDefault="001A0326">
      <w:pPr>
        <w:pStyle w:val="TableofFigures"/>
        <w:tabs>
          <w:tab w:val="right" w:leader="dot" w:pos="8296"/>
        </w:tabs>
        <w:rPr>
          <w:rFonts w:asciiTheme="minorHAnsi" w:eastAsiaTheme="minorEastAsia" w:hAnsiTheme="minorHAnsi" w:cstheme="minorBidi"/>
          <w:noProof/>
          <w:szCs w:val="22"/>
          <w:lang w:val="en-US" w:eastAsia="en-US"/>
        </w:rPr>
      </w:pPr>
      <w:hyperlink w:anchor="_Toc79828564" w:history="1">
        <w:r w:rsidR="00A20A14" w:rsidRPr="00C524E0">
          <w:rPr>
            <w:rStyle w:val="Hyperlink"/>
            <w:rFonts w:ascii="Arial Black" w:hAnsi="Arial Black"/>
            <w:noProof/>
          </w:rPr>
          <w:t>Figure14:Kogi State Macroeconomic Framework</w:t>
        </w:r>
        <w:r w:rsidR="00A20A14">
          <w:rPr>
            <w:noProof/>
            <w:webHidden/>
          </w:rPr>
          <w:tab/>
        </w:r>
        <w:r w:rsidR="00A20A14">
          <w:rPr>
            <w:noProof/>
            <w:webHidden/>
          </w:rPr>
          <w:fldChar w:fldCharType="begin"/>
        </w:r>
        <w:r w:rsidR="00A20A14">
          <w:rPr>
            <w:noProof/>
            <w:webHidden/>
          </w:rPr>
          <w:instrText xml:space="preserve"> PAGEREF _Toc79828564 \h </w:instrText>
        </w:r>
        <w:r w:rsidR="00A20A14">
          <w:rPr>
            <w:noProof/>
            <w:webHidden/>
          </w:rPr>
        </w:r>
        <w:r w:rsidR="00A20A14">
          <w:rPr>
            <w:noProof/>
            <w:webHidden/>
          </w:rPr>
          <w:fldChar w:fldCharType="separate"/>
        </w:r>
        <w:r w:rsidR="00A20A14">
          <w:rPr>
            <w:noProof/>
            <w:webHidden/>
          </w:rPr>
          <w:t>26</w:t>
        </w:r>
        <w:r w:rsidR="00A20A14">
          <w:rPr>
            <w:noProof/>
            <w:webHidden/>
          </w:rPr>
          <w:fldChar w:fldCharType="end"/>
        </w:r>
      </w:hyperlink>
    </w:p>
    <w:p w:rsidR="00A20A14" w:rsidRDefault="001A0326">
      <w:pPr>
        <w:pStyle w:val="TableofFigures"/>
        <w:tabs>
          <w:tab w:val="right" w:leader="dot" w:pos="8296"/>
        </w:tabs>
        <w:rPr>
          <w:rFonts w:asciiTheme="minorHAnsi" w:eastAsiaTheme="minorEastAsia" w:hAnsiTheme="minorHAnsi" w:cstheme="minorBidi"/>
          <w:noProof/>
          <w:szCs w:val="22"/>
          <w:lang w:val="en-US" w:eastAsia="en-US"/>
        </w:rPr>
      </w:pPr>
      <w:hyperlink w:anchor="_Toc79828565" w:history="1">
        <w:r w:rsidR="00A20A14" w:rsidRPr="00C524E0">
          <w:rPr>
            <w:rStyle w:val="Hyperlink"/>
            <w:rFonts w:ascii="Arial Black" w:hAnsi="Arial Black"/>
            <w:noProof/>
          </w:rPr>
          <w:t>Figure15: Kogi State Revenue Trend</w:t>
        </w:r>
        <w:r w:rsidR="00A20A14">
          <w:rPr>
            <w:noProof/>
            <w:webHidden/>
          </w:rPr>
          <w:tab/>
        </w:r>
        <w:r w:rsidR="00A20A14">
          <w:rPr>
            <w:noProof/>
            <w:webHidden/>
          </w:rPr>
          <w:fldChar w:fldCharType="begin"/>
        </w:r>
        <w:r w:rsidR="00A20A14">
          <w:rPr>
            <w:noProof/>
            <w:webHidden/>
          </w:rPr>
          <w:instrText xml:space="preserve"> PAGEREF _Toc79828565 \h </w:instrText>
        </w:r>
        <w:r w:rsidR="00A20A14">
          <w:rPr>
            <w:noProof/>
            <w:webHidden/>
          </w:rPr>
        </w:r>
        <w:r w:rsidR="00A20A14">
          <w:rPr>
            <w:noProof/>
            <w:webHidden/>
          </w:rPr>
          <w:fldChar w:fldCharType="separate"/>
        </w:r>
        <w:r w:rsidR="00A20A14">
          <w:rPr>
            <w:noProof/>
            <w:webHidden/>
          </w:rPr>
          <w:t>30</w:t>
        </w:r>
        <w:r w:rsidR="00A20A14">
          <w:rPr>
            <w:noProof/>
            <w:webHidden/>
          </w:rPr>
          <w:fldChar w:fldCharType="end"/>
        </w:r>
      </w:hyperlink>
    </w:p>
    <w:p w:rsidR="00A20A14" w:rsidRDefault="001A0326">
      <w:pPr>
        <w:pStyle w:val="TableofFigures"/>
        <w:tabs>
          <w:tab w:val="right" w:leader="dot" w:pos="8296"/>
        </w:tabs>
        <w:rPr>
          <w:rFonts w:asciiTheme="minorHAnsi" w:eastAsiaTheme="minorEastAsia" w:hAnsiTheme="minorHAnsi" w:cstheme="minorBidi"/>
          <w:noProof/>
          <w:szCs w:val="22"/>
          <w:lang w:val="en-US" w:eastAsia="en-US"/>
        </w:rPr>
      </w:pPr>
      <w:hyperlink w:anchor="_Toc79828566" w:history="1">
        <w:r w:rsidR="00A20A14" w:rsidRPr="00C524E0">
          <w:rPr>
            <w:rStyle w:val="Hyperlink"/>
            <w:rFonts w:ascii="Arial Black" w:hAnsi="Arial Black"/>
            <w:noProof/>
          </w:rPr>
          <w:t>Figure16: Kogi State Expenditure Trend</w:t>
        </w:r>
        <w:r w:rsidR="00A20A14">
          <w:rPr>
            <w:noProof/>
            <w:webHidden/>
          </w:rPr>
          <w:tab/>
        </w:r>
        <w:r w:rsidR="00A20A14">
          <w:rPr>
            <w:noProof/>
            <w:webHidden/>
          </w:rPr>
          <w:fldChar w:fldCharType="begin"/>
        </w:r>
        <w:r w:rsidR="00A20A14">
          <w:rPr>
            <w:noProof/>
            <w:webHidden/>
          </w:rPr>
          <w:instrText xml:space="preserve"> PAGEREF _Toc79828566 \h </w:instrText>
        </w:r>
        <w:r w:rsidR="00A20A14">
          <w:rPr>
            <w:noProof/>
            <w:webHidden/>
          </w:rPr>
        </w:r>
        <w:r w:rsidR="00A20A14">
          <w:rPr>
            <w:noProof/>
            <w:webHidden/>
          </w:rPr>
          <w:fldChar w:fldCharType="separate"/>
        </w:r>
        <w:r w:rsidR="00A20A14">
          <w:rPr>
            <w:noProof/>
            <w:webHidden/>
          </w:rPr>
          <w:t>31</w:t>
        </w:r>
        <w:r w:rsidR="00A20A14">
          <w:rPr>
            <w:noProof/>
            <w:webHidden/>
          </w:rPr>
          <w:fldChar w:fldCharType="end"/>
        </w:r>
      </w:hyperlink>
    </w:p>
    <w:p w:rsidR="00A20A14" w:rsidRDefault="001A0326">
      <w:pPr>
        <w:pStyle w:val="TableofFigures"/>
        <w:tabs>
          <w:tab w:val="right" w:leader="dot" w:pos="8296"/>
        </w:tabs>
        <w:rPr>
          <w:rFonts w:asciiTheme="minorHAnsi" w:eastAsiaTheme="minorEastAsia" w:hAnsiTheme="minorHAnsi" w:cstheme="minorBidi"/>
          <w:noProof/>
          <w:szCs w:val="22"/>
          <w:lang w:val="en-US" w:eastAsia="en-US"/>
        </w:rPr>
      </w:pPr>
      <w:hyperlink w:anchor="_Toc79828567" w:history="1">
        <w:r w:rsidR="00A20A14" w:rsidRPr="00C524E0">
          <w:rPr>
            <w:rStyle w:val="Hyperlink"/>
            <w:rFonts w:ascii="Arial Black" w:hAnsi="Arial Black"/>
            <w:noProof/>
          </w:rPr>
          <w:t>Figure17: Capital Expenditure by Sector (proposed 2022-2024)</w:t>
        </w:r>
        <w:r w:rsidR="00A20A14">
          <w:rPr>
            <w:noProof/>
            <w:webHidden/>
          </w:rPr>
          <w:tab/>
        </w:r>
        <w:r w:rsidR="00A20A14">
          <w:rPr>
            <w:noProof/>
            <w:webHidden/>
          </w:rPr>
          <w:fldChar w:fldCharType="begin"/>
        </w:r>
        <w:r w:rsidR="00A20A14">
          <w:rPr>
            <w:noProof/>
            <w:webHidden/>
          </w:rPr>
          <w:instrText xml:space="preserve"> PAGEREF _Toc79828567 \h </w:instrText>
        </w:r>
        <w:r w:rsidR="00A20A14">
          <w:rPr>
            <w:noProof/>
            <w:webHidden/>
          </w:rPr>
        </w:r>
        <w:r w:rsidR="00A20A14">
          <w:rPr>
            <w:noProof/>
            <w:webHidden/>
          </w:rPr>
          <w:fldChar w:fldCharType="separate"/>
        </w:r>
        <w:r w:rsidR="00A20A14">
          <w:rPr>
            <w:noProof/>
            <w:webHidden/>
          </w:rPr>
          <w:t>34</w:t>
        </w:r>
        <w:r w:rsidR="00A20A14">
          <w:rPr>
            <w:noProof/>
            <w:webHidden/>
          </w:rPr>
          <w:fldChar w:fldCharType="end"/>
        </w:r>
      </w:hyperlink>
    </w:p>
    <w:p w:rsidR="00A76322" w:rsidRPr="00386647" w:rsidRDefault="00683887" w:rsidP="00A76322">
      <w:pPr>
        <w:rPr>
          <w:rFonts w:cs="Tahoma"/>
        </w:rPr>
      </w:pPr>
      <w:r>
        <w:rPr>
          <w:rFonts w:cs="Tahoma"/>
        </w:rPr>
        <w:fldChar w:fldCharType="end"/>
      </w:r>
    </w:p>
    <w:p w:rsidR="00A76322" w:rsidRDefault="00A76322" w:rsidP="00A76322">
      <w:pPr>
        <w:pStyle w:val="TOCHeader"/>
      </w:pPr>
      <w:r>
        <w:br w:type="page"/>
      </w:r>
      <w:r>
        <w:lastRenderedPageBreak/>
        <w:t>Abbreviations</w:t>
      </w:r>
    </w:p>
    <w:tbl>
      <w:tblPr>
        <w:tblW w:w="8748" w:type="dxa"/>
        <w:tblBorders>
          <w:insideH w:val="single" w:sz="18" w:space="0" w:color="FFFFFF"/>
          <w:insideV w:val="single" w:sz="18" w:space="0" w:color="FFFFFF"/>
        </w:tblBorders>
        <w:tblLook w:val="01E0" w:firstRow="1" w:lastRow="1" w:firstColumn="1" w:lastColumn="1" w:noHBand="0" w:noVBand="0"/>
      </w:tblPr>
      <w:tblGrid>
        <w:gridCol w:w="1548"/>
        <w:gridCol w:w="7200"/>
      </w:tblGrid>
      <w:tr w:rsidR="00A76322" w:rsidTr="00B11B92">
        <w:trPr>
          <w:trHeight w:val="432"/>
        </w:trPr>
        <w:tc>
          <w:tcPr>
            <w:tcW w:w="1548" w:type="dxa"/>
            <w:shd w:val="pct20" w:color="000000" w:fill="FFFFFF"/>
          </w:tcPr>
          <w:p w:rsidR="00A76322" w:rsidRPr="00B11B92" w:rsidRDefault="00A76322" w:rsidP="00A76322">
            <w:pPr>
              <w:pStyle w:val="Table"/>
              <w:rPr>
                <w:rFonts w:ascii="Arial Black" w:hAnsi="Arial Black"/>
                <w:b/>
                <w:bCs/>
              </w:rPr>
            </w:pPr>
            <w:r w:rsidRPr="00B11B92">
              <w:rPr>
                <w:rFonts w:ascii="Arial Black" w:hAnsi="Arial Black"/>
                <w:b/>
                <w:bCs/>
              </w:rPr>
              <w:t>BRINCS</w:t>
            </w:r>
          </w:p>
        </w:tc>
        <w:tc>
          <w:tcPr>
            <w:tcW w:w="7200" w:type="dxa"/>
            <w:shd w:val="pct20" w:color="000000" w:fill="FFFFFF"/>
          </w:tcPr>
          <w:p w:rsidR="00A76322" w:rsidRPr="00B11B92" w:rsidRDefault="00A76322" w:rsidP="00A76322">
            <w:pPr>
              <w:pStyle w:val="Table"/>
              <w:rPr>
                <w:rFonts w:ascii="Lucida Bright" w:hAnsi="Lucida Bright"/>
                <w:b/>
                <w:bCs/>
              </w:rPr>
            </w:pPr>
            <w:r w:rsidRPr="00B11B92">
              <w:rPr>
                <w:rFonts w:ascii="Lucida Bright" w:hAnsi="Lucida Bright"/>
                <w:b/>
                <w:bCs/>
              </w:rPr>
              <w:t>Brazil, Russia, India, Nigeria, China, South Africa</w:t>
            </w:r>
          </w:p>
        </w:tc>
      </w:tr>
      <w:tr w:rsidR="00A76322" w:rsidTr="00B11B92">
        <w:trPr>
          <w:trHeight w:val="432"/>
        </w:trPr>
        <w:tc>
          <w:tcPr>
            <w:tcW w:w="1548" w:type="dxa"/>
            <w:shd w:val="pct5" w:color="000000" w:fill="FFFFFF"/>
          </w:tcPr>
          <w:p w:rsidR="00A76322" w:rsidRPr="00B11B92" w:rsidRDefault="00A76322" w:rsidP="00A76322">
            <w:pPr>
              <w:pStyle w:val="Table"/>
              <w:rPr>
                <w:rFonts w:ascii="Arial Black" w:hAnsi="Arial Black"/>
                <w:b/>
                <w:bCs/>
              </w:rPr>
            </w:pPr>
            <w:r w:rsidRPr="00B11B92">
              <w:rPr>
                <w:rFonts w:ascii="Arial Black" w:hAnsi="Arial Black"/>
                <w:b/>
                <w:bCs/>
              </w:rPr>
              <w:t>CBN</w:t>
            </w:r>
          </w:p>
        </w:tc>
        <w:tc>
          <w:tcPr>
            <w:tcW w:w="7200" w:type="dxa"/>
            <w:shd w:val="pct5" w:color="000000" w:fill="FFFFFF"/>
          </w:tcPr>
          <w:p w:rsidR="00A76322" w:rsidRPr="00B11B92" w:rsidRDefault="00A76322" w:rsidP="00A76322">
            <w:pPr>
              <w:pStyle w:val="Table"/>
              <w:rPr>
                <w:rFonts w:ascii="Lucida Bright" w:hAnsi="Lucida Bright"/>
                <w:b/>
                <w:bCs/>
              </w:rPr>
            </w:pPr>
            <w:r w:rsidRPr="00B11B92">
              <w:rPr>
                <w:rFonts w:ascii="Lucida Bright" w:hAnsi="Lucida Bright"/>
                <w:b/>
                <w:bCs/>
              </w:rPr>
              <w:t>Central Bank of Nigeria</w:t>
            </w:r>
          </w:p>
        </w:tc>
      </w:tr>
      <w:tr w:rsidR="00A76322" w:rsidTr="00B11B92">
        <w:trPr>
          <w:trHeight w:val="432"/>
        </w:trPr>
        <w:tc>
          <w:tcPr>
            <w:tcW w:w="1548" w:type="dxa"/>
            <w:shd w:val="pct20" w:color="000000" w:fill="FFFFFF"/>
          </w:tcPr>
          <w:p w:rsidR="00A76322" w:rsidRPr="00B11B92" w:rsidRDefault="00A76322" w:rsidP="00A76322">
            <w:pPr>
              <w:pStyle w:val="Table"/>
              <w:rPr>
                <w:rFonts w:ascii="Arial Black" w:hAnsi="Arial Black"/>
                <w:b/>
                <w:bCs/>
              </w:rPr>
            </w:pPr>
            <w:r w:rsidRPr="00B11B92">
              <w:rPr>
                <w:rFonts w:ascii="Arial Black" w:hAnsi="Arial Black"/>
                <w:b/>
                <w:bCs/>
              </w:rPr>
              <w:t>DMD</w:t>
            </w:r>
          </w:p>
        </w:tc>
        <w:tc>
          <w:tcPr>
            <w:tcW w:w="7200" w:type="dxa"/>
            <w:shd w:val="pct20" w:color="000000" w:fill="FFFFFF"/>
          </w:tcPr>
          <w:p w:rsidR="00A76322" w:rsidRPr="00B11B92" w:rsidRDefault="00A76322" w:rsidP="00A76322">
            <w:pPr>
              <w:pStyle w:val="Table"/>
              <w:rPr>
                <w:rFonts w:ascii="Lucida Bright" w:hAnsi="Lucida Bright"/>
                <w:b/>
                <w:bCs/>
              </w:rPr>
            </w:pPr>
            <w:r w:rsidRPr="00B11B92">
              <w:rPr>
                <w:rFonts w:ascii="Lucida Bright" w:hAnsi="Lucida Bright"/>
                <w:b/>
                <w:bCs/>
              </w:rPr>
              <w:t>Debt Management Department</w:t>
            </w:r>
          </w:p>
        </w:tc>
      </w:tr>
      <w:tr w:rsidR="00A76322" w:rsidTr="00B11B92">
        <w:trPr>
          <w:trHeight w:val="432"/>
        </w:trPr>
        <w:tc>
          <w:tcPr>
            <w:tcW w:w="1548" w:type="dxa"/>
            <w:shd w:val="pct5" w:color="000000" w:fill="FFFFFF"/>
          </w:tcPr>
          <w:p w:rsidR="00A76322" w:rsidRPr="00B11B92" w:rsidRDefault="00A76322" w:rsidP="00A76322">
            <w:pPr>
              <w:pStyle w:val="Table"/>
              <w:rPr>
                <w:rFonts w:ascii="Arial Black" w:hAnsi="Arial Black"/>
                <w:b/>
                <w:bCs/>
              </w:rPr>
            </w:pPr>
            <w:r w:rsidRPr="00B11B92">
              <w:rPr>
                <w:rFonts w:ascii="Arial Black" w:hAnsi="Arial Black"/>
                <w:b/>
                <w:bCs/>
              </w:rPr>
              <w:t>EFU</w:t>
            </w:r>
          </w:p>
        </w:tc>
        <w:tc>
          <w:tcPr>
            <w:tcW w:w="7200" w:type="dxa"/>
            <w:shd w:val="pct5" w:color="000000" w:fill="FFFFFF"/>
          </w:tcPr>
          <w:p w:rsidR="00A76322" w:rsidRPr="00B11B92" w:rsidRDefault="00A76322" w:rsidP="00A76322">
            <w:pPr>
              <w:pStyle w:val="Table"/>
              <w:rPr>
                <w:rFonts w:ascii="Lucida Bright" w:hAnsi="Lucida Bright"/>
                <w:b/>
                <w:bCs/>
              </w:rPr>
            </w:pPr>
            <w:r w:rsidRPr="00B11B92">
              <w:rPr>
                <w:rFonts w:ascii="Lucida Bright" w:hAnsi="Lucida Bright"/>
                <w:b/>
                <w:bCs/>
              </w:rPr>
              <w:t>Economic and Fiscal Update</w:t>
            </w:r>
          </w:p>
        </w:tc>
      </w:tr>
      <w:tr w:rsidR="00A76322" w:rsidTr="00B11B92">
        <w:trPr>
          <w:trHeight w:val="432"/>
        </w:trPr>
        <w:tc>
          <w:tcPr>
            <w:tcW w:w="1548" w:type="dxa"/>
            <w:shd w:val="pct20" w:color="000000" w:fill="FFFFFF"/>
          </w:tcPr>
          <w:p w:rsidR="00A76322" w:rsidRPr="00B11B92" w:rsidRDefault="00A76322" w:rsidP="00A76322">
            <w:pPr>
              <w:pStyle w:val="Table"/>
              <w:rPr>
                <w:rFonts w:ascii="Arial Black" w:hAnsi="Arial Black"/>
                <w:b/>
                <w:bCs/>
              </w:rPr>
            </w:pPr>
            <w:r w:rsidRPr="00B11B92">
              <w:rPr>
                <w:rFonts w:ascii="Arial Black" w:hAnsi="Arial Black"/>
                <w:b/>
                <w:bCs/>
              </w:rPr>
              <w:t>ExCo</w:t>
            </w:r>
          </w:p>
        </w:tc>
        <w:tc>
          <w:tcPr>
            <w:tcW w:w="7200" w:type="dxa"/>
            <w:shd w:val="pct20" w:color="000000" w:fill="FFFFFF"/>
          </w:tcPr>
          <w:p w:rsidR="00A76322" w:rsidRPr="00B11B92" w:rsidRDefault="00A76322" w:rsidP="00A76322">
            <w:pPr>
              <w:pStyle w:val="Table"/>
              <w:rPr>
                <w:rFonts w:ascii="Lucida Bright" w:hAnsi="Lucida Bright"/>
                <w:b/>
                <w:bCs/>
              </w:rPr>
            </w:pPr>
            <w:r w:rsidRPr="00B11B92">
              <w:rPr>
                <w:rFonts w:ascii="Lucida Bright" w:hAnsi="Lucida Bright"/>
                <w:b/>
                <w:bCs/>
              </w:rPr>
              <w:t>Executive Council</w:t>
            </w:r>
          </w:p>
        </w:tc>
      </w:tr>
      <w:tr w:rsidR="00A76322" w:rsidTr="00B11B92">
        <w:trPr>
          <w:trHeight w:val="432"/>
        </w:trPr>
        <w:tc>
          <w:tcPr>
            <w:tcW w:w="1548" w:type="dxa"/>
            <w:shd w:val="pct5" w:color="000000" w:fill="FFFFFF"/>
          </w:tcPr>
          <w:p w:rsidR="00A76322" w:rsidRPr="00B11B92" w:rsidRDefault="00A76322" w:rsidP="00A76322">
            <w:pPr>
              <w:pStyle w:val="Table"/>
              <w:rPr>
                <w:rFonts w:ascii="Arial Black" w:hAnsi="Arial Black"/>
                <w:b/>
                <w:bCs/>
              </w:rPr>
            </w:pPr>
            <w:r w:rsidRPr="00B11B92">
              <w:rPr>
                <w:rFonts w:ascii="Arial Black" w:hAnsi="Arial Black"/>
                <w:b/>
                <w:bCs/>
              </w:rPr>
              <w:t>FAAC</w:t>
            </w:r>
          </w:p>
        </w:tc>
        <w:tc>
          <w:tcPr>
            <w:tcW w:w="7200" w:type="dxa"/>
            <w:shd w:val="pct5" w:color="000000" w:fill="FFFFFF"/>
          </w:tcPr>
          <w:p w:rsidR="00A76322" w:rsidRPr="00B11B92" w:rsidRDefault="00A76322" w:rsidP="00A76322">
            <w:pPr>
              <w:pStyle w:val="Table"/>
              <w:rPr>
                <w:rFonts w:ascii="Lucida Bright" w:hAnsi="Lucida Bright"/>
                <w:b/>
                <w:bCs/>
              </w:rPr>
            </w:pPr>
            <w:r w:rsidRPr="00B11B92">
              <w:rPr>
                <w:rFonts w:ascii="Lucida Bright" w:hAnsi="Lucida Bright"/>
                <w:b/>
                <w:bCs/>
              </w:rPr>
              <w:t>Federal Allocation Accounts Committee</w:t>
            </w:r>
          </w:p>
        </w:tc>
      </w:tr>
      <w:tr w:rsidR="00A76322" w:rsidTr="00B11B92">
        <w:trPr>
          <w:trHeight w:val="432"/>
        </w:trPr>
        <w:tc>
          <w:tcPr>
            <w:tcW w:w="1548" w:type="dxa"/>
            <w:shd w:val="pct20" w:color="000000" w:fill="FFFFFF"/>
          </w:tcPr>
          <w:p w:rsidR="00A76322" w:rsidRPr="00B11B92" w:rsidRDefault="00A76322" w:rsidP="00A76322">
            <w:pPr>
              <w:pStyle w:val="Table"/>
              <w:rPr>
                <w:rFonts w:ascii="Arial Black" w:hAnsi="Arial Black"/>
                <w:b/>
                <w:bCs/>
              </w:rPr>
            </w:pPr>
            <w:r w:rsidRPr="00B11B92">
              <w:rPr>
                <w:rFonts w:ascii="Arial Black" w:hAnsi="Arial Black"/>
                <w:b/>
                <w:bCs/>
              </w:rPr>
              <w:t>FSP</w:t>
            </w:r>
          </w:p>
        </w:tc>
        <w:tc>
          <w:tcPr>
            <w:tcW w:w="7200" w:type="dxa"/>
            <w:shd w:val="pct20" w:color="000000" w:fill="FFFFFF"/>
          </w:tcPr>
          <w:p w:rsidR="00A76322" w:rsidRPr="00B11B92" w:rsidRDefault="00A76322" w:rsidP="00A76322">
            <w:pPr>
              <w:pStyle w:val="Table"/>
              <w:rPr>
                <w:rFonts w:ascii="Lucida Bright" w:hAnsi="Lucida Bright"/>
                <w:b/>
                <w:bCs/>
              </w:rPr>
            </w:pPr>
            <w:r w:rsidRPr="00B11B92">
              <w:rPr>
                <w:rFonts w:ascii="Lucida Bright" w:hAnsi="Lucida Bright"/>
                <w:b/>
                <w:bCs/>
              </w:rPr>
              <w:t>Fiscal Strategy Paper</w:t>
            </w:r>
          </w:p>
        </w:tc>
      </w:tr>
      <w:tr w:rsidR="00A76322" w:rsidTr="00B11B92">
        <w:trPr>
          <w:trHeight w:val="432"/>
        </w:trPr>
        <w:tc>
          <w:tcPr>
            <w:tcW w:w="1548" w:type="dxa"/>
            <w:shd w:val="pct5" w:color="000000" w:fill="FFFFFF"/>
          </w:tcPr>
          <w:p w:rsidR="00A76322" w:rsidRPr="00B11B92" w:rsidRDefault="00A76322" w:rsidP="00A76322">
            <w:pPr>
              <w:pStyle w:val="Table"/>
              <w:rPr>
                <w:rFonts w:ascii="Arial Black" w:hAnsi="Arial Black"/>
                <w:b/>
                <w:bCs/>
              </w:rPr>
            </w:pPr>
            <w:r w:rsidRPr="00B11B92">
              <w:rPr>
                <w:rFonts w:ascii="Arial Black" w:hAnsi="Arial Black"/>
                <w:b/>
                <w:bCs/>
              </w:rPr>
              <w:t>GDP</w:t>
            </w:r>
          </w:p>
        </w:tc>
        <w:tc>
          <w:tcPr>
            <w:tcW w:w="7200" w:type="dxa"/>
            <w:shd w:val="pct5" w:color="000000" w:fill="FFFFFF"/>
          </w:tcPr>
          <w:p w:rsidR="00A76322" w:rsidRPr="00B11B92" w:rsidRDefault="00A76322" w:rsidP="00A76322">
            <w:pPr>
              <w:pStyle w:val="Table"/>
              <w:rPr>
                <w:rFonts w:ascii="Lucida Bright" w:hAnsi="Lucida Bright"/>
                <w:b/>
                <w:bCs/>
              </w:rPr>
            </w:pPr>
            <w:r w:rsidRPr="00B11B92">
              <w:rPr>
                <w:rFonts w:ascii="Lucida Bright" w:hAnsi="Lucida Bright"/>
                <w:b/>
                <w:bCs/>
              </w:rPr>
              <w:t>Gross Domestic Product</w:t>
            </w:r>
          </w:p>
        </w:tc>
      </w:tr>
      <w:tr w:rsidR="00A76322" w:rsidTr="00B11B92">
        <w:trPr>
          <w:trHeight w:val="432"/>
        </w:trPr>
        <w:tc>
          <w:tcPr>
            <w:tcW w:w="1548" w:type="dxa"/>
            <w:shd w:val="pct20" w:color="000000" w:fill="FFFFFF"/>
          </w:tcPr>
          <w:p w:rsidR="00A76322" w:rsidRPr="00B11B92" w:rsidRDefault="00A76322" w:rsidP="00A76322">
            <w:pPr>
              <w:pStyle w:val="Table"/>
              <w:rPr>
                <w:rFonts w:ascii="Arial Black" w:hAnsi="Arial Black"/>
                <w:b/>
                <w:bCs/>
              </w:rPr>
            </w:pPr>
            <w:r w:rsidRPr="00B11B92">
              <w:rPr>
                <w:rFonts w:ascii="Arial Black" w:hAnsi="Arial Black"/>
                <w:b/>
                <w:bCs/>
              </w:rPr>
              <w:t>IGR</w:t>
            </w:r>
          </w:p>
        </w:tc>
        <w:tc>
          <w:tcPr>
            <w:tcW w:w="7200" w:type="dxa"/>
            <w:shd w:val="pct20" w:color="000000" w:fill="FFFFFF"/>
          </w:tcPr>
          <w:p w:rsidR="00A76322" w:rsidRPr="00B11B92" w:rsidRDefault="00A76322" w:rsidP="00A76322">
            <w:pPr>
              <w:pStyle w:val="Table"/>
              <w:rPr>
                <w:rFonts w:ascii="Lucida Bright" w:hAnsi="Lucida Bright"/>
                <w:b/>
                <w:bCs/>
              </w:rPr>
            </w:pPr>
            <w:r w:rsidRPr="00B11B92">
              <w:rPr>
                <w:rFonts w:ascii="Lucida Bright" w:hAnsi="Lucida Bright"/>
                <w:b/>
                <w:bCs/>
              </w:rPr>
              <w:t>Internally Generated Revenue</w:t>
            </w:r>
          </w:p>
        </w:tc>
      </w:tr>
      <w:tr w:rsidR="00A76322" w:rsidTr="00B11B92">
        <w:trPr>
          <w:trHeight w:val="432"/>
        </w:trPr>
        <w:tc>
          <w:tcPr>
            <w:tcW w:w="1548" w:type="dxa"/>
            <w:shd w:val="pct5" w:color="000000" w:fill="FFFFFF"/>
          </w:tcPr>
          <w:p w:rsidR="00A76322" w:rsidRPr="00B11B92" w:rsidRDefault="00A76322" w:rsidP="00A76322">
            <w:pPr>
              <w:pStyle w:val="Table"/>
              <w:rPr>
                <w:rFonts w:ascii="Arial Black" w:hAnsi="Arial Black"/>
                <w:b/>
                <w:bCs/>
              </w:rPr>
            </w:pPr>
            <w:r w:rsidRPr="00B11B92">
              <w:rPr>
                <w:rFonts w:ascii="Arial Black" w:hAnsi="Arial Black"/>
                <w:b/>
                <w:bCs/>
              </w:rPr>
              <w:t>IMF</w:t>
            </w:r>
          </w:p>
        </w:tc>
        <w:tc>
          <w:tcPr>
            <w:tcW w:w="7200" w:type="dxa"/>
            <w:shd w:val="pct5" w:color="000000" w:fill="FFFFFF"/>
          </w:tcPr>
          <w:p w:rsidR="00A76322" w:rsidRPr="00B11B92" w:rsidRDefault="00A76322" w:rsidP="00A76322">
            <w:pPr>
              <w:pStyle w:val="Table"/>
              <w:rPr>
                <w:rFonts w:ascii="Lucida Bright" w:hAnsi="Lucida Bright"/>
                <w:b/>
                <w:bCs/>
              </w:rPr>
            </w:pPr>
            <w:r w:rsidRPr="00B11B92">
              <w:rPr>
                <w:rFonts w:ascii="Lucida Bright" w:hAnsi="Lucida Bright"/>
                <w:b/>
                <w:bCs/>
              </w:rPr>
              <w:t>International Monetary Fund</w:t>
            </w:r>
          </w:p>
        </w:tc>
      </w:tr>
      <w:tr w:rsidR="00A76322" w:rsidTr="00B11B92">
        <w:trPr>
          <w:trHeight w:val="432"/>
        </w:trPr>
        <w:tc>
          <w:tcPr>
            <w:tcW w:w="1548" w:type="dxa"/>
            <w:shd w:val="pct20" w:color="000000" w:fill="FFFFFF"/>
          </w:tcPr>
          <w:p w:rsidR="00A76322" w:rsidRPr="00B11B92" w:rsidRDefault="00A76322" w:rsidP="00A76322">
            <w:pPr>
              <w:pStyle w:val="Table"/>
              <w:rPr>
                <w:rFonts w:ascii="Arial Black" w:hAnsi="Arial Black"/>
                <w:b/>
                <w:bCs/>
              </w:rPr>
            </w:pPr>
            <w:r w:rsidRPr="00B11B92">
              <w:rPr>
                <w:rFonts w:ascii="Arial Black" w:hAnsi="Arial Black"/>
                <w:b/>
                <w:bCs/>
              </w:rPr>
              <w:t>MDA</w:t>
            </w:r>
          </w:p>
        </w:tc>
        <w:tc>
          <w:tcPr>
            <w:tcW w:w="7200" w:type="dxa"/>
            <w:shd w:val="pct20" w:color="000000" w:fill="FFFFFF"/>
          </w:tcPr>
          <w:p w:rsidR="00A76322" w:rsidRPr="00B11B92" w:rsidRDefault="00A76322" w:rsidP="00A76322">
            <w:pPr>
              <w:pStyle w:val="Table"/>
              <w:rPr>
                <w:rFonts w:ascii="Lucida Bright" w:hAnsi="Lucida Bright"/>
                <w:b/>
                <w:bCs/>
              </w:rPr>
            </w:pPr>
            <w:r w:rsidRPr="00B11B92">
              <w:rPr>
                <w:rFonts w:ascii="Lucida Bright" w:hAnsi="Lucida Bright"/>
                <w:b/>
                <w:bCs/>
              </w:rPr>
              <w:t>Ministry, Department and Agencies</w:t>
            </w:r>
          </w:p>
        </w:tc>
      </w:tr>
      <w:tr w:rsidR="00A76322" w:rsidTr="00B11B92">
        <w:trPr>
          <w:trHeight w:val="432"/>
        </w:trPr>
        <w:tc>
          <w:tcPr>
            <w:tcW w:w="1548" w:type="dxa"/>
            <w:shd w:val="pct5" w:color="000000" w:fill="FFFFFF"/>
          </w:tcPr>
          <w:p w:rsidR="00A76322" w:rsidRPr="00B11B92" w:rsidRDefault="00A76322" w:rsidP="00A76322">
            <w:pPr>
              <w:pStyle w:val="Table"/>
              <w:rPr>
                <w:rFonts w:ascii="Arial Black" w:hAnsi="Arial Black"/>
                <w:b/>
                <w:bCs/>
              </w:rPr>
            </w:pPr>
            <w:r w:rsidRPr="00B11B92">
              <w:rPr>
                <w:rFonts w:ascii="Arial Black" w:hAnsi="Arial Black"/>
                <w:b/>
                <w:bCs/>
              </w:rPr>
              <w:t>MTBF</w:t>
            </w:r>
          </w:p>
        </w:tc>
        <w:tc>
          <w:tcPr>
            <w:tcW w:w="7200" w:type="dxa"/>
            <w:shd w:val="pct5" w:color="000000" w:fill="FFFFFF"/>
          </w:tcPr>
          <w:p w:rsidR="00A76322" w:rsidRPr="00B11B92" w:rsidRDefault="00A76322" w:rsidP="00A76322">
            <w:pPr>
              <w:pStyle w:val="Table"/>
              <w:rPr>
                <w:rFonts w:ascii="Lucida Bright" w:hAnsi="Lucida Bright"/>
                <w:b/>
                <w:bCs/>
              </w:rPr>
            </w:pPr>
            <w:r w:rsidRPr="00B11B92">
              <w:rPr>
                <w:rFonts w:ascii="Lucida Bright" w:hAnsi="Lucida Bright"/>
                <w:b/>
                <w:bCs/>
              </w:rPr>
              <w:t>Medium Term Budget Framework</w:t>
            </w:r>
          </w:p>
        </w:tc>
      </w:tr>
      <w:tr w:rsidR="00A76322" w:rsidTr="00B11B92">
        <w:trPr>
          <w:trHeight w:val="432"/>
        </w:trPr>
        <w:tc>
          <w:tcPr>
            <w:tcW w:w="1548" w:type="dxa"/>
            <w:shd w:val="pct20" w:color="000000" w:fill="FFFFFF"/>
          </w:tcPr>
          <w:p w:rsidR="00A76322" w:rsidRPr="00B11B92" w:rsidRDefault="00A76322" w:rsidP="00A76322">
            <w:pPr>
              <w:pStyle w:val="Table"/>
              <w:rPr>
                <w:rFonts w:ascii="Arial Black" w:hAnsi="Arial Black"/>
                <w:b/>
                <w:bCs/>
              </w:rPr>
            </w:pPr>
            <w:r w:rsidRPr="00B11B92">
              <w:rPr>
                <w:rFonts w:ascii="Arial Black" w:hAnsi="Arial Black"/>
                <w:b/>
                <w:bCs/>
              </w:rPr>
              <w:t>MTEF</w:t>
            </w:r>
          </w:p>
        </w:tc>
        <w:tc>
          <w:tcPr>
            <w:tcW w:w="7200" w:type="dxa"/>
            <w:shd w:val="pct20" w:color="000000" w:fill="FFFFFF"/>
          </w:tcPr>
          <w:p w:rsidR="00A76322" w:rsidRPr="00B11B92" w:rsidRDefault="00A76322" w:rsidP="00A76322">
            <w:pPr>
              <w:pStyle w:val="Table"/>
              <w:rPr>
                <w:rFonts w:ascii="Lucida Bright" w:hAnsi="Lucida Bright"/>
                <w:b/>
                <w:bCs/>
              </w:rPr>
            </w:pPr>
            <w:r w:rsidRPr="00B11B92">
              <w:rPr>
                <w:rFonts w:ascii="Lucida Bright" w:hAnsi="Lucida Bright"/>
                <w:b/>
                <w:bCs/>
              </w:rPr>
              <w:t>Medium Term Expenditure Framework</w:t>
            </w:r>
          </w:p>
        </w:tc>
      </w:tr>
      <w:tr w:rsidR="00A76322" w:rsidTr="00B11B92">
        <w:trPr>
          <w:trHeight w:val="432"/>
        </w:trPr>
        <w:tc>
          <w:tcPr>
            <w:tcW w:w="1548" w:type="dxa"/>
            <w:shd w:val="pct5" w:color="000000" w:fill="FFFFFF"/>
          </w:tcPr>
          <w:p w:rsidR="00A76322" w:rsidRPr="00B11B92" w:rsidRDefault="00A76322" w:rsidP="00A76322">
            <w:pPr>
              <w:pStyle w:val="Table"/>
              <w:rPr>
                <w:rFonts w:ascii="Arial Black" w:hAnsi="Arial Black"/>
                <w:b/>
                <w:bCs/>
              </w:rPr>
            </w:pPr>
            <w:r w:rsidRPr="00B11B92">
              <w:rPr>
                <w:rFonts w:ascii="Arial Black" w:hAnsi="Arial Black"/>
                <w:b/>
                <w:bCs/>
              </w:rPr>
              <w:t>MTFF</w:t>
            </w:r>
          </w:p>
        </w:tc>
        <w:tc>
          <w:tcPr>
            <w:tcW w:w="7200" w:type="dxa"/>
            <w:shd w:val="pct5" w:color="000000" w:fill="FFFFFF"/>
          </w:tcPr>
          <w:p w:rsidR="00A76322" w:rsidRPr="00B11B92" w:rsidRDefault="00A76322" w:rsidP="00A76322">
            <w:pPr>
              <w:pStyle w:val="Table"/>
              <w:rPr>
                <w:rFonts w:ascii="Lucida Bright" w:hAnsi="Lucida Bright"/>
                <w:b/>
                <w:bCs/>
              </w:rPr>
            </w:pPr>
            <w:r w:rsidRPr="00B11B92">
              <w:rPr>
                <w:rFonts w:ascii="Lucida Bright" w:hAnsi="Lucida Bright"/>
                <w:b/>
                <w:bCs/>
              </w:rPr>
              <w:t>Medium Term Fiscal Framework</w:t>
            </w:r>
          </w:p>
        </w:tc>
      </w:tr>
      <w:tr w:rsidR="00A76322" w:rsidTr="00B11B92">
        <w:trPr>
          <w:trHeight w:val="432"/>
        </w:trPr>
        <w:tc>
          <w:tcPr>
            <w:tcW w:w="1548" w:type="dxa"/>
            <w:shd w:val="pct20" w:color="000000" w:fill="FFFFFF"/>
          </w:tcPr>
          <w:p w:rsidR="00A76322" w:rsidRPr="00B11B92" w:rsidRDefault="00A76322" w:rsidP="00A76322">
            <w:pPr>
              <w:pStyle w:val="Table"/>
              <w:rPr>
                <w:rFonts w:ascii="Arial Black" w:hAnsi="Arial Black"/>
                <w:b/>
                <w:bCs/>
              </w:rPr>
            </w:pPr>
            <w:r w:rsidRPr="00B11B92">
              <w:rPr>
                <w:rFonts w:ascii="Arial Black" w:hAnsi="Arial Black"/>
                <w:b/>
                <w:bCs/>
              </w:rPr>
              <w:t>MTSS</w:t>
            </w:r>
          </w:p>
        </w:tc>
        <w:tc>
          <w:tcPr>
            <w:tcW w:w="7200" w:type="dxa"/>
            <w:shd w:val="pct20" w:color="000000" w:fill="FFFFFF"/>
          </w:tcPr>
          <w:p w:rsidR="00A76322" w:rsidRPr="00B11B92" w:rsidRDefault="00A76322" w:rsidP="00A76322">
            <w:pPr>
              <w:pStyle w:val="Table"/>
              <w:rPr>
                <w:rFonts w:ascii="Lucida Bright" w:hAnsi="Lucida Bright"/>
                <w:b/>
                <w:bCs/>
              </w:rPr>
            </w:pPr>
            <w:r w:rsidRPr="00B11B92">
              <w:rPr>
                <w:rFonts w:ascii="Lucida Bright" w:hAnsi="Lucida Bright"/>
                <w:b/>
                <w:bCs/>
              </w:rPr>
              <w:t>Medium Term Sector Strategy</w:t>
            </w:r>
          </w:p>
        </w:tc>
      </w:tr>
      <w:tr w:rsidR="00A76322" w:rsidTr="00B11B92">
        <w:trPr>
          <w:trHeight w:val="432"/>
        </w:trPr>
        <w:tc>
          <w:tcPr>
            <w:tcW w:w="1548" w:type="dxa"/>
            <w:shd w:val="pct5" w:color="000000" w:fill="FFFFFF"/>
          </w:tcPr>
          <w:p w:rsidR="00A76322" w:rsidRPr="00B11B92" w:rsidRDefault="00A76322" w:rsidP="00A76322">
            <w:pPr>
              <w:pStyle w:val="Table"/>
              <w:rPr>
                <w:rFonts w:ascii="Arial Black" w:hAnsi="Arial Black"/>
                <w:b/>
                <w:bCs/>
              </w:rPr>
            </w:pPr>
            <w:r w:rsidRPr="00B11B92">
              <w:rPr>
                <w:rFonts w:ascii="Arial Black" w:hAnsi="Arial Black"/>
                <w:b/>
                <w:bCs/>
              </w:rPr>
              <w:t>NBS</w:t>
            </w:r>
          </w:p>
        </w:tc>
        <w:tc>
          <w:tcPr>
            <w:tcW w:w="7200" w:type="dxa"/>
            <w:shd w:val="pct5" w:color="000000" w:fill="FFFFFF"/>
          </w:tcPr>
          <w:p w:rsidR="00A76322" w:rsidRPr="00B11B92" w:rsidRDefault="00A76322" w:rsidP="00A76322">
            <w:pPr>
              <w:pStyle w:val="Table"/>
              <w:rPr>
                <w:rFonts w:ascii="Lucida Bright" w:hAnsi="Lucida Bright"/>
                <w:b/>
                <w:bCs/>
              </w:rPr>
            </w:pPr>
            <w:r w:rsidRPr="00B11B92">
              <w:rPr>
                <w:rFonts w:ascii="Lucida Bright" w:hAnsi="Lucida Bright"/>
                <w:b/>
                <w:bCs/>
              </w:rPr>
              <w:t>National Bureau of Statistics</w:t>
            </w:r>
          </w:p>
        </w:tc>
      </w:tr>
      <w:tr w:rsidR="00A76322" w:rsidTr="00B11B92">
        <w:trPr>
          <w:trHeight w:val="432"/>
        </w:trPr>
        <w:tc>
          <w:tcPr>
            <w:tcW w:w="1548" w:type="dxa"/>
            <w:shd w:val="pct20" w:color="000000" w:fill="FFFFFF"/>
          </w:tcPr>
          <w:p w:rsidR="00A76322" w:rsidRPr="00B11B92" w:rsidRDefault="00A76322" w:rsidP="00A76322">
            <w:pPr>
              <w:pStyle w:val="Table"/>
              <w:rPr>
                <w:rFonts w:ascii="Arial Black" w:hAnsi="Arial Black"/>
                <w:b/>
                <w:bCs/>
              </w:rPr>
            </w:pPr>
            <w:r w:rsidRPr="00B11B92">
              <w:rPr>
                <w:rFonts w:ascii="Arial Black" w:hAnsi="Arial Black"/>
                <w:b/>
                <w:bCs/>
              </w:rPr>
              <w:t>NNPC</w:t>
            </w:r>
          </w:p>
        </w:tc>
        <w:tc>
          <w:tcPr>
            <w:tcW w:w="7200" w:type="dxa"/>
            <w:shd w:val="pct20" w:color="000000" w:fill="FFFFFF"/>
          </w:tcPr>
          <w:p w:rsidR="00A76322" w:rsidRPr="00B11B92" w:rsidRDefault="00A76322" w:rsidP="00A76322">
            <w:pPr>
              <w:pStyle w:val="Table"/>
              <w:rPr>
                <w:rFonts w:ascii="Lucida Bright" w:hAnsi="Lucida Bright"/>
                <w:b/>
                <w:bCs/>
              </w:rPr>
            </w:pPr>
            <w:r w:rsidRPr="00B11B92">
              <w:rPr>
                <w:rFonts w:ascii="Lucida Bright" w:hAnsi="Lucida Bright"/>
                <w:b/>
                <w:bCs/>
              </w:rPr>
              <w:t>Nigerian National Petroleum Company</w:t>
            </w:r>
          </w:p>
        </w:tc>
      </w:tr>
      <w:tr w:rsidR="00A76322" w:rsidTr="00B11B92">
        <w:trPr>
          <w:trHeight w:val="432"/>
        </w:trPr>
        <w:tc>
          <w:tcPr>
            <w:tcW w:w="1548" w:type="dxa"/>
            <w:shd w:val="pct5" w:color="000000" w:fill="FFFFFF"/>
          </w:tcPr>
          <w:p w:rsidR="00A76322" w:rsidRPr="00B11B92" w:rsidRDefault="00A76322" w:rsidP="00A76322">
            <w:pPr>
              <w:pStyle w:val="Table"/>
              <w:rPr>
                <w:rFonts w:ascii="Arial Black" w:hAnsi="Arial Black"/>
                <w:b/>
                <w:bCs/>
              </w:rPr>
            </w:pPr>
            <w:r w:rsidRPr="00B11B92">
              <w:rPr>
                <w:rFonts w:ascii="Arial Black" w:hAnsi="Arial Black"/>
                <w:b/>
                <w:bCs/>
              </w:rPr>
              <w:t>NPC</w:t>
            </w:r>
          </w:p>
        </w:tc>
        <w:tc>
          <w:tcPr>
            <w:tcW w:w="7200" w:type="dxa"/>
            <w:shd w:val="pct5" w:color="000000" w:fill="FFFFFF"/>
          </w:tcPr>
          <w:p w:rsidR="00A76322" w:rsidRPr="00B11B92" w:rsidRDefault="00A76322" w:rsidP="00A76322">
            <w:pPr>
              <w:pStyle w:val="Table"/>
              <w:rPr>
                <w:rFonts w:ascii="Lucida Bright" w:hAnsi="Lucida Bright"/>
                <w:b/>
                <w:bCs/>
              </w:rPr>
            </w:pPr>
            <w:r w:rsidRPr="00B11B92">
              <w:rPr>
                <w:rFonts w:ascii="Lucida Bright" w:hAnsi="Lucida Bright"/>
                <w:b/>
                <w:bCs/>
              </w:rPr>
              <w:t>National Planning Commission</w:t>
            </w:r>
          </w:p>
        </w:tc>
      </w:tr>
      <w:tr w:rsidR="00A76322" w:rsidTr="00B11B92">
        <w:trPr>
          <w:trHeight w:val="432"/>
        </w:trPr>
        <w:tc>
          <w:tcPr>
            <w:tcW w:w="1548" w:type="dxa"/>
            <w:shd w:val="pct20" w:color="000000" w:fill="FFFFFF"/>
          </w:tcPr>
          <w:p w:rsidR="00A76322" w:rsidRPr="00B11B92" w:rsidRDefault="00A76322" w:rsidP="00A76322">
            <w:pPr>
              <w:pStyle w:val="Table"/>
              <w:rPr>
                <w:rFonts w:ascii="Arial Black" w:hAnsi="Arial Black"/>
                <w:b/>
                <w:bCs/>
              </w:rPr>
            </w:pPr>
            <w:r w:rsidRPr="00B11B92">
              <w:rPr>
                <w:rFonts w:ascii="Arial Black" w:hAnsi="Arial Black"/>
                <w:b/>
                <w:bCs/>
              </w:rPr>
              <w:t>OAG</w:t>
            </w:r>
          </w:p>
        </w:tc>
        <w:tc>
          <w:tcPr>
            <w:tcW w:w="7200" w:type="dxa"/>
            <w:shd w:val="pct20" w:color="000000" w:fill="FFFFFF"/>
          </w:tcPr>
          <w:p w:rsidR="00A76322" w:rsidRPr="00B11B92" w:rsidRDefault="00A76322" w:rsidP="00A76322">
            <w:pPr>
              <w:pStyle w:val="Table"/>
              <w:rPr>
                <w:rFonts w:ascii="Lucida Bright" w:hAnsi="Lucida Bright"/>
                <w:b/>
                <w:bCs/>
              </w:rPr>
            </w:pPr>
            <w:r w:rsidRPr="00B11B92">
              <w:rPr>
                <w:rFonts w:ascii="Lucida Bright" w:hAnsi="Lucida Bright"/>
                <w:b/>
                <w:bCs/>
              </w:rPr>
              <w:t>Office of the Accountant General</w:t>
            </w:r>
          </w:p>
        </w:tc>
      </w:tr>
      <w:tr w:rsidR="00A00D4F" w:rsidTr="00B11B92">
        <w:trPr>
          <w:trHeight w:val="432"/>
        </w:trPr>
        <w:tc>
          <w:tcPr>
            <w:tcW w:w="1548" w:type="dxa"/>
            <w:shd w:val="pct5" w:color="000000" w:fill="FFFFFF"/>
          </w:tcPr>
          <w:p w:rsidR="00A00D4F" w:rsidRPr="00B11B92" w:rsidRDefault="00A00D4F" w:rsidP="00A76322">
            <w:pPr>
              <w:pStyle w:val="Table"/>
              <w:rPr>
                <w:rFonts w:ascii="Arial Black" w:hAnsi="Arial Black"/>
                <w:b/>
                <w:bCs/>
              </w:rPr>
            </w:pPr>
            <w:r w:rsidRPr="00B11B92">
              <w:rPr>
                <w:rFonts w:ascii="Arial Black" w:hAnsi="Arial Black"/>
                <w:b/>
                <w:bCs/>
              </w:rPr>
              <w:t>PFM</w:t>
            </w:r>
          </w:p>
        </w:tc>
        <w:tc>
          <w:tcPr>
            <w:tcW w:w="7200" w:type="dxa"/>
            <w:shd w:val="pct5" w:color="000000" w:fill="FFFFFF"/>
          </w:tcPr>
          <w:p w:rsidR="00A00D4F" w:rsidRPr="00B11B92" w:rsidRDefault="00A00D4F" w:rsidP="00A76322">
            <w:pPr>
              <w:pStyle w:val="Table"/>
              <w:rPr>
                <w:rFonts w:ascii="Lucida Bright" w:hAnsi="Lucida Bright"/>
                <w:b/>
                <w:bCs/>
              </w:rPr>
            </w:pPr>
            <w:r w:rsidRPr="00B11B92">
              <w:rPr>
                <w:rFonts w:ascii="Lucida Bright" w:hAnsi="Lucida Bright"/>
                <w:b/>
                <w:bCs/>
              </w:rPr>
              <w:t>Public Financial Management</w:t>
            </w:r>
          </w:p>
        </w:tc>
      </w:tr>
      <w:tr w:rsidR="00A00D4F" w:rsidTr="00B11B92">
        <w:trPr>
          <w:trHeight w:val="432"/>
        </w:trPr>
        <w:tc>
          <w:tcPr>
            <w:tcW w:w="1548" w:type="dxa"/>
            <w:shd w:val="pct20" w:color="000000" w:fill="FFFFFF"/>
          </w:tcPr>
          <w:p w:rsidR="00A00D4F" w:rsidRPr="00B11B92" w:rsidRDefault="00A00D4F" w:rsidP="00A76322">
            <w:pPr>
              <w:pStyle w:val="Table"/>
              <w:rPr>
                <w:rFonts w:ascii="Arial Black" w:hAnsi="Arial Black"/>
                <w:b/>
                <w:bCs/>
              </w:rPr>
            </w:pPr>
            <w:r w:rsidRPr="00B11B92">
              <w:rPr>
                <w:rFonts w:ascii="Arial Black" w:hAnsi="Arial Black"/>
                <w:b/>
                <w:bCs/>
              </w:rPr>
              <w:t>MINT</w:t>
            </w:r>
          </w:p>
        </w:tc>
        <w:tc>
          <w:tcPr>
            <w:tcW w:w="7200" w:type="dxa"/>
            <w:shd w:val="pct20" w:color="000000" w:fill="FFFFFF"/>
          </w:tcPr>
          <w:p w:rsidR="00A00D4F" w:rsidRPr="00B11B92" w:rsidRDefault="00A00D4F" w:rsidP="00A76322">
            <w:pPr>
              <w:pStyle w:val="Table"/>
              <w:rPr>
                <w:rFonts w:ascii="Lucida Bright" w:hAnsi="Lucida Bright"/>
                <w:b/>
                <w:bCs/>
              </w:rPr>
            </w:pPr>
            <w:r w:rsidRPr="00B11B92">
              <w:rPr>
                <w:rFonts w:ascii="Lucida Bright" w:hAnsi="Lucida Bright"/>
                <w:b/>
                <w:bCs/>
              </w:rPr>
              <w:t>Mexico, Indonesian, Nigeria and Turkey</w:t>
            </w:r>
          </w:p>
        </w:tc>
      </w:tr>
      <w:tr w:rsidR="00A76322" w:rsidTr="00B11B92">
        <w:trPr>
          <w:trHeight w:val="432"/>
        </w:trPr>
        <w:tc>
          <w:tcPr>
            <w:tcW w:w="1548" w:type="dxa"/>
            <w:shd w:val="pct5" w:color="000000" w:fill="FFFFFF"/>
          </w:tcPr>
          <w:p w:rsidR="005A1C68" w:rsidRPr="00B11B92" w:rsidRDefault="005A1C68" w:rsidP="00A76322">
            <w:pPr>
              <w:pStyle w:val="Table"/>
              <w:rPr>
                <w:rFonts w:ascii="Arial Black" w:hAnsi="Arial Black"/>
                <w:b/>
                <w:bCs/>
              </w:rPr>
            </w:pPr>
            <w:r w:rsidRPr="00B11B92">
              <w:rPr>
                <w:rFonts w:ascii="Arial Black" w:hAnsi="Arial Black"/>
                <w:b/>
                <w:bCs/>
              </w:rPr>
              <w:t>N-11</w:t>
            </w:r>
          </w:p>
        </w:tc>
        <w:tc>
          <w:tcPr>
            <w:tcW w:w="7200" w:type="dxa"/>
            <w:shd w:val="pct5" w:color="000000" w:fill="FFFFFF"/>
          </w:tcPr>
          <w:p w:rsidR="005A1C68" w:rsidRPr="00B11B92" w:rsidRDefault="005A1C68" w:rsidP="00A76322">
            <w:pPr>
              <w:pStyle w:val="Table"/>
              <w:rPr>
                <w:rFonts w:ascii="Lucida Bright" w:hAnsi="Lucida Bright"/>
                <w:b/>
                <w:bCs/>
              </w:rPr>
            </w:pPr>
            <w:r w:rsidRPr="00B11B92">
              <w:rPr>
                <w:rFonts w:ascii="Lucida Bright" w:hAnsi="Lucida Bright"/>
                <w:b/>
                <w:bCs/>
              </w:rPr>
              <w:t>Next 11 Countries</w:t>
            </w:r>
          </w:p>
        </w:tc>
      </w:tr>
      <w:tr w:rsidR="00A76322" w:rsidTr="00B11B92">
        <w:trPr>
          <w:trHeight w:val="432"/>
        </w:trPr>
        <w:tc>
          <w:tcPr>
            <w:tcW w:w="1548" w:type="dxa"/>
            <w:shd w:val="pct20" w:color="000000" w:fill="FFFFFF"/>
          </w:tcPr>
          <w:p w:rsidR="00A76322" w:rsidRPr="00B11B92" w:rsidRDefault="00A76322" w:rsidP="00A76322">
            <w:pPr>
              <w:pStyle w:val="Table"/>
              <w:rPr>
                <w:rFonts w:ascii="Arial Black" w:hAnsi="Arial Black"/>
                <w:b/>
                <w:bCs/>
              </w:rPr>
            </w:pPr>
            <w:r w:rsidRPr="00B11B92">
              <w:rPr>
                <w:rFonts w:ascii="Arial Black" w:hAnsi="Arial Black"/>
                <w:b/>
                <w:bCs/>
              </w:rPr>
              <w:t>PIB</w:t>
            </w:r>
          </w:p>
        </w:tc>
        <w:tc>
          <w:tcPr>
            <w:tcW w:w="7200" w:type="dxa"/>
            <w:shd w:val="pct20" w:color="000000" w:fill="FFFFFF"/>
          </w:tcPr>
          <w:p w:rsidR="00A76322" w:rsidRPr="00B11B92" w:rsidRDefault="00A76322" w:rsidP="00A76322">
            <w:pPr>
              <w:pStyle w:val="Table"/>
              <w:rPr>
                <w:rFonts w:ascii="Lucida Bright" w:hAnsi="Lucida Bright"/>
                <w:b/>
                <w:bCs/>
              </w:rPr>
            </w:pPr>
            <w:r w:rsidRPr="00B11B92">
              <w:rPr>
                <w:rFonts w:ascii="Lucida Bright" w:hAnsi="Lucida Bright"/>
                <w:b/>
                <w:bCs/>
              </w:rPr>
              <w:t>Petroleum Industry Bill</w:t>
            </w:r>
          </w:p>
        </w:tc>
      </w:tr>
      <w:tr w:rsidR="00A76322" w:rsidTr="00B11B92">
        <w:trPr>
          <w:trHeight w:val="432"/>
        </w:trPr>
        <w:tc>
          <w:tcPr>
            <w:tcW w:w="1548" w:type="dxa"/>
            <w:shd w:val="pct5" w:color="000000" w:fill="FFFFFF"/>
          </w:tcPr>
          <w:p w:rsidR="00A76322" w:rsidRPr="00B11B92" w:rsidRDefault="00A76322" w:rsidP="00A76322">
            <w:pPr>
              <w:pStyle w:val="Table"/>
              <w:rPr>
                <w:rFonts w:ascii="Arial Black" w:hAnsi="Arial Black"/>
                <w:b/>
                <w:bCs/>
              </w:rPr>
            </w:pPr>
            <w:r w:rsidRPr="00B11B92">
              <w:rPr>
                <w:rFonts w:ascii="Arial Black" w:hAnsi="Arial Black"/>
                <w:b/>
                <w:bCs/>
              </w:rPr>
              <w:t>PITA</w:t>
            </w:r>
          </w:p>
        </w:tc>
        <w:tc>
          <w:tcPr>
            <w:tcW w:w="7200" w:type="dxa"/>
            <w:shd w:val="pct5" w:color="000000" w:fill="FFFFFF"/>
          </w:tcPr>
          <w:p w:rsidR="00A76322" w:rsidRPr="00B11B92" w:rsidRDefault="00A76322" w:rsidP="00A76322">
            <w:pPr>
              <w:pStyle w:val="Table"/>
              <w:rPr>
                <w:rFonts w:ascii="Lucida Bright" w:hAnsi="Lucida Bright"/>
                <w:b/>
                <w:bCs/>
              </w:rPr>
            </w:pPr>
            <w:r w:rsidRPr="00B11B92">
              <w:rPr>
                <w:rFonts w:ascii="Lucida Bright" w:hAnsi="Lucida Bright"/>
                <w:b/>
                <w:bCs/>
              </w:rPr>
              <w:t>Personal Income Tax Act</w:t>
            </w:r>
          </w:p>
        </w:tc>
      </w:tr>
      <w:tr w:rsidR="00A76322" w:rsidTr="00B11B92">
        <w:trPr>
          <w:trHeight w:val="432"/>
        </w:trPr>
        <w:tc>
          <w:tcPr>
            <w:tcW w:w="1548" w:type="dxa"/>
            <w:shd w:val="pct20" w:color="000000" w:fill="FFFFFF"/>
          </w:tcPr>
          <w:p w:rsidR="00A76322" w:rsidRPr="00B11B92" w:rsidRDefault="00A76322" w:rsidP="00A76322">
            <w:pPr>
              <w:pStyle w:val="Table"/>
              <w:rPr>
                <w:rFonts w:ascii="Arial Black" w:hAnsi="Arial Black"/>
                <w:b/>
                <w:bCs/>
              </w:rPr>
            </w:pPr>
            <w:r w:rsidRPr="00B11B92">
              <w:rPr>
                <w:rFonts w:ascii="Arial Black" w:hAnsi="Arial Black"/>
                <w:b/>
                <w:bCs/>
              </w:rPr>
              <w:t>PMS</w:t>
            </w:r>
          </w:p>
        </w:tc>
        <w:tc>
          <w:tcPr>
            <w:tcW w:w="7200" w:type="dxa"/>
            <w:shd w:val="pct20" w:color="000000" w:fill="FFFFFF"/>
          </w:tcPr>
          <w:p w:rsidR="00A76322" w:rsidRPr="00B11B92" w:rsidRDefault="00DB2DE8" w:rsidP="00A76322">
            <w:pPr>
              <w:pStyle w:val="Table"/>
              <w:rPr>
                <w:rFonts w:ascii="Lucida Bright" w:hAnsi="Lucida Bright"/>
                <w:b/>
                <w:bCs/>
              </w:rPr>
            </w:pPr>
            <w:r w:rsidRPr="00B11B92">
              <w:rPr>
                <w:rFonts w:ascii="Lucida Bright" w:hAnsi="Lucida Bright"/>
                <w:b/>
                <w:bCs/>
                <w:szCs w:val="22"/>
              </w:rPr>
              <w:t>Premium Motor Spirit</w:t>
            </w:r>
          </w:p>
        </w:tc>
      </w:tr>
      <w:tr w:rsidR="00A76322" w:rsidTr="00B11B92">
        <w:trPr>
          <w:trHeight w:val="432"/>
        </w:trPr>
        <w:tc>
          <w:tcPr>
            <w:tcW w:w="1548" w:type="dxa"/>
            <w:shd w:val="pct5" w:color="000000" w:fill="FFFFFF"/>
          </w:tcPr>
          <w:p w:rsidR="00A76322" w:rsidRPr="00B11B92" w:rsidRDefault="00A76322" w:rsidP="00A76322">
            <w:pPr>
              <w:pStyle w:val="Table"/>
              <w:rPr>
                <w:rFonts w:ascii="Arial Black" w:hAnsi="Arial Black"/>
                <w:b/>
                <w:bCs/>
              </w:rPr>
            </w:pPr>
            <w:r w:rsidRPr="00B11B92">
              <w:rPr>
                <w:rFonts w:ascii="Arial Black" w:hAnsi="Arial Black"/>
                <w:b/>
                <w:bCs/>
              </w:rPr>
              <w:t>SHoA</w:t>
            </w:r>
          </w:p>
        </w:tc>
        <w:tc>
          <w:tcPr>
            <w:tcW w:w="7200" w:type="dxa"/>
            <w:shd w:val="pct5" w:color="000000" w:fill="FFFFFF"/>
          </w:tcPr>
          <w:p w:rsidR="00A76322" w:rsidRPr="00B11B92" w:rsidRDefault="00A76322" w:rsidP="00A76322">
            <w:pPr>
              <w:pStyle w:val="Table"/>
              <w:rPr>
                <w:rFonts w:ascii="Lucida Bright" w:hAnsi="Lucida Bright"/>
                <w:b/>
                <w:bCs/>
              </w:rPr>
            </w:pPr>
            <w:r w:rsidRPr="00B11B92">
              <w:rPr>
                <w:rFonts w:ascii="Lucida Bright" w:hAnsi="Lucida Bright"/>
                <w:b/>
                <w:bCs/>
              </w:rPr>
              <w:t>State House of Assembly</w:t>
            </w:r>
          </w:p>
        </w:tc>
      </w:tr>
      <w:tr w:rsidR="00A76322" w:rsidTr="00B11B92">
        <w:trPr>
          <w:trHeight w:val="432"/>
        </w:trPr>
        <w:tc>
          <w:tcPr>
            <w:tcW w:w="1548" w:type="dxa"/>
            <w:shd w:val="pct20" w:color="000000" w:fill="FFFFFF"/>
          </w:tcPr>
          <w:p w:rsidR="00A76322" w:rsidRPr="00B11B92" w:rsidRDefault="00A76322" w:rsidP="00A76322">
            <w:pPr>
              <w:pStyle w:val="Table"/>
              <w:rPr>
                <w:rFonts w:ascii="Arial Black" w:hAnsi="Arial Black"/>
                <w:b/>
                <w:bCs/>
              </w:rPr>
            </w:pPr>
            <w:r w:rsidRPr="00B11B92">
              <w:rPr>
                <w:rFonts w:ascii="Arial Black" w:hAnsi="Arial Black"/>
                <w:b/>
                <w:bCs/>
              </w:rPr>
              <w:t>VAT</w:t>
            </w:r>
          </w:p>
        </w:tc>
        <w:tc>
          <w:tcPr>
            <w:tcW w:w="7200" w:type="dxa"/>
            <w:shd w:val="pct20" w:color="000000" w:fill="FFFFFF"/>
          </w:tcPr>
          <w:p w:rsidR="00A76322" w:rsidRPr="00B11B92" w:rsidRDefault="00A76322" w:rsidP="00A76322">
            <w:pPr>
              <w:pStyle w:val="Table"/>
              <w:rPr>
                <w:rFonts w:ascii="Lucida Bright" w:hAnsi="Lucida Bright"/>
                <w:b/>
                <w:bCs/>
              </w:rPr>
            </w:pPr>
            <w:r w:rsidRPr="00B11B92">
              <w:rPr>
                <w:rFonts w:ascii="Lucida Bright" w:hAnsi="Lucida Bright"/>
                <w:b/>
                <w:bCs/>
              </w:rPr>
              <w:t>Value Added Tax</w:t>
            </w:r>
          </w:p>
        </w:tc>
      </w:tr>
      <w:tr w:rsidR="00A46E21" w:rsidRPr="00B11B92" w:rsidTr="00B11B92">
        <w:trPr>
          <w:trHeight w:val="432"/>
        </w:trPr>
        <w:tc>
          <w:tcPr>
            <w:tcW w:w="1548" w:type="dxa"/>
            <w:shd w:val="pct5" w:color="000000" w:fill="FFFFFF"/>
            <w:hideMark/>
          </w:tcPr>
          <w:p w:rsidR="00A46E21" w:rsidRPr="00B11B92" w:rsidRDefault="00A46E21" w:rsidP="00B11B92">
            <w:pPr>
              <w:spacing w:before="0" w:after="0"/>
              <w:rPr>
                <w:rFonts w:ascii="Arial Black" w:hAnsi="Arial Black"/>
                <w:b/>
                <w:bCs/>
                <w:color w:val="000000"/>
                <w:szCs w:val="22"/>
                <w:lang w:val="en-US" w:eastAsia="en-US"/>
              </w:rPr>
            </w:pPr>
            <w:r w:rsidRPr="00B11B92">
              <w:rPr>
                <w:rFonts w:ascii="Arial Black" w:hAnsi="Arial Black"/>
                <w:b/>
                <w:bCs/>
                <w:color w:val="000000"/>
                <w:szCs w:val="22"/>
                <w:lang w:eastAsia="en-US"/>
              </w:rPr>
              <w:lastRenderedPageBreak/>
              <w:t>WEO</w:t>
            </w:r>
          </w:p>
        </w:tc>
        <w:tc>
          <w:tcPr>
            <w:tcW w:w="7200" w:type="dxa"/>
            <w:shd w:val="pct5" w:color="000000" w:fill="FFFFFF"/>
            <w:hideMark/>
          </w:tcPr>
          <w:p w:rsidR="00A46E21" w:rsidRPr="00B11B92" w:rsidRDefault="00A46E21" w:rsidP="00B11B92">
            <w:pPr>
              <w:spacing w:before="0" w:after="0"/>
              <w:rPr>
                <w:rFonts w:ascii="Lucida Bright" w:hAnsi="Lucida Bright"/>
                <w:color w:val="000000"/>
                <w:szCs w:val="22"/>
                <w:lang w:val="en-US" w:eastAsia="en-US"/>
              </w:rPr>
            </w:pPr>
            <w:r w:rsidRPr="00B11B92">
              <w:rPr>
                <w:rFonts w:ascii="Lucida Bright" w:hAnsi="Lucida Bright"/>
                <w:color w:val="000000"/>
                <w:szCs w:val="22"/>
                <w:lang w:eastAsia="en-US"/>
              </w:rPr>
              <w:t>World Economic Outlook</w:t>
            </w:r>
          </w:p>
        </w:tc>
      </w:tr>
      <w:tr w:rsidR="00A46E21" w:rsidRPr="00B11B92" w:rsidTr="00B11B92">
        <w:trPr>
          <w:trHeight w:val="432"/>
        </w:trPr>
        <w:tc>
          <w:tcPr>
            <w:tcW w:w="1548" w:type="dxa"/>
            <w:shd w:val="pct20" w:color="000000" w:fill="FFFFFF"/>
            <w:hideMark/>
          </w:tcPr>
          <w:p w:rsidR="00A46E21" w:rsidRPr="00B11B92" w:rsidRDefault="00A46E21" w:rsidP="00B11B92">
            <w:pPr>
              <w:spacing w:before="0" w:after="0"/>
              <w:rPr>
                <w:rFonts w:ascii="Arial Black" w:hAnsi="Arial Black"/>
                <w:b/>
                <w:bCs/>
                <w:color w:val="000000"/>
                <w:szCs w:val="22"/>
                <w:lang w:val="en-US" w:eastAsia="en-US"/>
              </w:rPr>
            </w:pPr>
            <w:r w:rsidRPr="00B11B92">
              <w:rPr>
                <w:rFonts w:ascii="Arial Black" w:hAnsi="Arial Black"/>
                <w:b/>
                <w:bCs/>
                <w:color w:val="000000"/>
                <w:szCs w:val="22"/>
                <w:lang w:eastAsia="en-US"/>
              </w:rPr>
              <w:t>PAC</w:t>
            </w:r>
          </w:p>
        </w:tc>
        <w:tc>
          <w:tcPr>
            <w:tcW w:w="7200" w:type="dxa"/>
            <w:shd w:val="pct20" w:color="000000" w:fill="FFFFFF"/>
            <w:hideMark/>
          </w:tcPr>
          <w:p w:rsidR="00A46E21" w:rsidRPr="00B11B92" w:rsidRDefault="00A46E21" w:rsidP="00B11B92">
            <w:pPr>
              <w:spacing w:before="0" w:after="0"/>
              <w:rPr>
                <w:rFonts w:ascii="Lucida Bright" w:hAnsi="Lucida Bright"/>
                <w:color w:val="000000"/>
                <w:szCs w:val="22"/>
                <w:lang w:val="en-US" w:eastAsia="en-US"/>
              </w:rPr>
            </w:pPr>
            <w:r w:rsidRPr="00B11B92">
              <w:rPr>
                <w:rFonts w:ascii="Lucida Bright" w:hAnsi="Lucida Bright"/>
                <w:color w:val="000000"/>
                <w:szCs w:val="22"/>
                <w:lang w:eastAsia="en-US"/>
              </w:rPr>
              <w:t>Public Account Committee</w:t>
            </w:r>
          </w:p>
        </w:tc>
      </w:tr>
      <w:tr w:rsidR="00A46E21" w:rsidRPr="00B11B92" w:rsidTr="00B11B92">
        <w:trPr>
          <w:trHeight w:val="432"/>
        </w:trPr>
        <w:tc>
          <w:tcPr>
            <w:tcW w:w="1548" w:type="dxa"/>
            <w:shd w:val="pct5" w:color="000000" w:fill="FFFFFF"/>
            <w:hideMark/>
          </w:tcPr>
          <w:p w:rsidR="00A46E21" w:rsidRPr="00B11B92" w:rsidRDefault="00A46E21" w:rsidP="00B11B92">
            <w:pPr>
              <w:spacing w:before="0" w:after="0"/>
              <w:rPr>
                <w:rFonts w:ascii="Arial Black" w:hAnsi="Arial Black"/>
                <w:b/>
                <w:bCs/>
                <w:color w:val="000000"/>
                <w:szCs w:val="22"/>
                <w:lang w:val="en-US" w:eastAsia="en-US"/>
              </w:rPr>
            </w:pPr>
            <w:r w:rsidRPr="00B11B92">
              <w:rPr>
                <w:rFonts w:ascii="Arial Black" w:hAnsi="Arial Black"/>
                <w:b/>
                <w:bCs/>
                <w:color w:val="000000"/>
                <w:szCs w:val="22"/>
                <w:lang w:eastAsia="en-US"/>
              </w:rPr>
              <w:t>SFRA</w:t>
            </w:r>
          </w:p>
        </w:tc>
        <w:tc>
          <w:tcPr>
            <w:tcW w:w="7200" w:type="dxa"/>
            <w:shd w:val="pct5" w:color="000000" w:fill="FFFFFF"/>
            <w:hideMark/>
          </w:tcPr>
          <w:p w:rsidR="00A46E21" w:rsidRPr="00B11B92" w:rsidRDefault="00A46E21" w:rsidP="00B11B92">
            <w:pPr>
              <w:spacing w:before="0" w:after="0"/>
              <w:rPr>
                <w:rFonts w:ascii="Lucida Bright" w:hAnsi="Lucida Bright"/>
                <w:color w:val="000000"/>
                <w:szCs w:val="22"/>
                <w:lang w:val="en-US" w:eastAsia="en-US"/>
              </w:rPr>
            </w:pPr>
            <w:r w:rsidRPr="00B11B92">
              <w:rPr>
                <w:rFonts w:ascii="Lucida Bright" w:hAnsi="Lucida Bright"/>
                <w:color w:val="000000"/>
                <w:szCs w:val="22"/>
                <w:lang w:eastAsia="en-US"/>
              </w:rPr>
              <w:t>State Fiscal Responsibility Act</w:t>
            </w:r>
          </w:p>
        </w:tc>
      </w:tr>
      <w:tr w:rsidR="00A46E21" w:rsidRPr="00B11B92" w:rsidTr="00B11B92">
        <w:trPr>
          <w:trHeight w:val="432"/>
        </w:trPr>
        <w:tc>
          <w:tcPr>
            <w:tcW w:w="1548" w:type="dxa"/>
            <w:shd w:val="pct20" w:color="000000" w:fill="FFFFFF"/>
            <w:hideMark/>
          </w:tcPr>
          <w:p w:rsidR="00A46E21" w:rsidRPr="00B11B92" w:rsidRDefault="00A46E21" w:rsidP="00B11B92">
            <w:pPr>
              <w:spacing w:before="0" w:after="0"/>
              <w:rPr>
                <w:rFonts w:ascii="Arial Black" w:hAnsi="Arial Black"/>
                <w:b/>
                <w:bCs/>
                <w:color w:val="000000"/>
                <w:szCs w:val="22"/>
                <w:lang w:val="en-US" w:eastAsia="en-US"/>
              </w:rPr>
            </w:pPr>
            <w:r w:rsidRPr="00B11B92">
              <w:rPr>
                <w:rFonts w:ascii="Arial Black" w:hAnsi="Arial Black"/>
                <w:b/>
                <w:bCs/>
                <w:color w:val="000000"/>
                <w:szCs w:val="22"/>
                <w:lang w:eastAsia="en-US"/>
              </w:rPr>
              <w:t>KSG</w:t>
            </w:r>
          </w:p>
        </w:tc>
        <w:tc>
          <w:tcPr>
            <w:tcW w:w="7200" w:type="dxa"/>
            <w:shd w:val="pct20" w:color="000000" w:fill="FFFFFF"/>
            <w:hideMark/>
          </w:tcPr>
          <w:p w:rsidR="00A46E21" w:rsidRPr="00B11B92" w:rsidRDefault="00A46E21" w:rsidP="00B11B92">
            <w:pPr>
              <w:spacing w:before="0" w:after="0"/>
              <w:rPr>
                <w:rFonts w:ascii="Lucida Bright" w:hAnsi="Lucida Bright"/>
                <w:color w:val="000000"/>
                <w:szCs w:val="22"/>
                <w:lang w:val="en-US" w:eastAsia="en-US"/>
              </w:rPr>
            </w:pPr>
            <w:r w:rsidRPr="00B11B92">
              <w:rPr>
                <w:rFonts w:ascii="Lucida Bright" w:hAnsi="Lucida Bright"/>
                <w:color w:val="000000"/>
                <w:szCs w:val="22"/>
                <w:lang w:eastAsia="en-US"/>
              </w:rPr>
              <w:t>Kogi State Government</w:t>
            </w:r>
          </w:p>
        </w:tc>
      </w:tr>
      <w:tr w:rsidR="00A46E21" w:rsidRPr="00B11B92" w:rsidTr="00B11B92">
        <w:trPr>
          <w:trHeight w:val="432"/>
        </w:trPr>
        <w:tc>
          <w:tcPr>
            <w:tcW w:w="1548" w:type="dxa"/>
            <w:shd w:val="pct5" w:color="000000" w:fill="FFFFFF"/>
            <w:hideMark/>
          </w:tcPr>
          <w:p w:rsidR="00A46E21" w:rsidRPr="00B11B92" w:rsidRDefault="00A46E21" w:rsidP="00B11B92">
            <w:pPr>
              <w:spacing w:before="0" w:after="0"/>
              <w:rPr>
                <w:rFonts w:ascii="Arial Black" w:hAnsi="Arial Black"/>
                <w:b/>
                <w:bCs/>
                <w:color w:val="000000"/>
                <w:szCs w:val="22"/>
                <w:lang w:val="en-US" w:eastAsia="en-US"/>
              </w:rPr>
            </w:pPr>
            <w:r w:rsidRPr="00B11B92">
              <w:rPr>
                <w:rFonts w:ascii="Arial Black" w:hAnsi="Arial Black"/>
                <w:b/>
                <w:bCs/>
                <w:color w:val="000000"/>
                <w:szCs w:val="22"/>
                <w:lang w:eastAsia="en-US"/>
              </w:rPr>
              <w:t>CSO</w:t>
            </w:r>
          </w:p>
        </w:tc>
        <w:tc>
          <w:tcPr>
            <w:tcW w:w="7200" w:type="dxa"/>
            <w:shd w:val="pct5" w:color="000000" w:fill="FFFFFF"/>
            <w:hideMark/>
          </w:tcPr>
          <w:p w:rsidR="00A46E21" w:rsidRPr="00B11B92" w:rsidRDefault="00A46E21" w:rsidP="00B11B92">
            <w:pPr>
              <w:spacing w:before="0" w:after="0"/>
              <w:rPr>
                <w:rFonts w:ascii="Lucida Bright" w:hAnsi="Lucida Bright"/>
                <w:color w:val="000000"/>
                <w:szCs w:val="22"/>
                <w:lang w:val="en-US" w:eastAsia="en-US"/>
              </w:rPr>
            </w:pPr>
            <w:r w:rsidRPr="00B11B92">
              <w:rPr>
                <w:rFonts w:ascii="Lucida Bright" w:hAnsi="Lucida Bright"/>
                <w:color w:val="000000"/>
                <w:szCs w:val="22"/>
                <w:lang w:eastAsia="en-US"/>
              </w:rPr>
              <w:t>Civil Society Organisation</w:t>
            </w:r>
          </w:p>
        </w:tc>
      </w:tr>
      <w:tr w:rsidR="00A46E21" w:rsidRPr="00B11B92" w:rsidTr="00B11B92">
        <w:trPr>
          <w:trHeight w:val="432"/>
        </w:trPr>
        <w:tc>
          <w:tcPr>
            <w:tcW w:w="1548" w:type="dxa"/>
            <w:shd w:val="pct20" w:color="000000" w:fill="FFFFFF"/>
            <w:hideMark/>
          </w:tcPr>
          <w:p w:rsidR="00A46E21" w:rsidRPr="00B11B92" w:rsidRDefault="00A46E21" w:rsidP="00B11B92">
            <w:pPr>
              <w:spacing w:before="0" w:after="0"/>
              <w:rPr>
                <w:rFonts w:ascii="Arial Black" w:hAnsi="Arial Black"/>
                <w:b/>
                <w:bCs/>
                <w:color w:val="000000"/>
                <w:szCs w:val="22"/>
                <w:lang w:val="en-US" w:eastAsia="en-US"/>
              </w:rPr>
            </w:pPr>
            <w:r w:rsidRPr="00B11B92">
              <w:rPr>
                <w:rFonts w:ascii="Arial Black" w:hAnsi="Arial Black"/>
                <w:b/>
                <w:bCs/>
                <w:color w:val="000000"/>
                <w:szCs w:val="22"/>
                <w:lang w:eastAsia="en-US"/>
              </w:rPr>
              <w:t>TWG</w:t>
            </w:r>
          </w:p>
        </w:tc>
        <w:tc>
          <w:tcPr>
            <w:tcW w:w="7200" w:type="dxa"/>
            <w:shd w:val="pct20" w:color="000000" w:fill="FFFFFF"/>
            <w:hideMark/>
          </w:tcPr>
          <w:p w:rsidR="00A46E21" w:rsidRPr="00B11B92" w:rsidRDefault="00A46E21" w:rsidP="00B11B92">
            <w:pPr>
              <w:spacing w:before="0" w:after="0"/>
              <w:rPr>
                <w:rFonts w:ascii="Lucida Bright" w:hAnsi="Lucida Bright"/>
                <w:color w:val="000000"/>
                <w:szCs w:val="22"/>
                <w:lang w:val="en-US" w:eastAsia="en-US"/>
              </w:rPr>
            </w:pPr>
            <w:r w:rsidRPr="00B11B92">
              <w:rPr>
                <w:rFonts w:ascii="Lucida Bright" w:hAnsi="Lucida Bright"/>
                <w:color w:val="000000"/>
                <w:szCs w:val="22"/>
                <w:lang w:eastAsia="en-US"/>
              </w:rPr>
              <w:t>Technical Working Group</w:t>
            </w:r>
          </w:p>
        </w:tc>
      </w:tr>
      <w:tr w:rsidR="00A46E21" w:rsidRPr="00B11B92" w:rsidTr="00B11B92">
        <w:trPr>
          <w:trHeight w:val="432"/>
        </w:trPr>
        <w:tc>
          <w:tcPr>
            <w:tcW w:w="1548" w:type="dxa"/>
            <w:shd w:val="pct5" w:color="000000" w:fill="FFFFFF"/>
            <w:hideMark/>
          </w:tcPr>
          <w:p w:rsidR="00A46E21" w:rsidRPr="00B11B92" w:rsidRDefault="00A46E21" w:rsidP="00B11B92">
            <w:pPr>
              <w:spacing w:before="0" w:after="0"/>
              <w:rPr>
                <w:rFonts w:ascii="Arial Black" w:hAnsi="Arial Black"/>
                <w:b/>
                <w:bCs/>
                <w:color w:val="000000"/>
                <w:szCs w:val="22"/>
                <w:lang w:val="en-US" w:eastAsia="en-US"/>
              </w:rPr>
            </w:pPr>
            <w:r w:rsidRPr="00B11B92">
              <w:rPr>
                <w:rFonts w:ascii="Arial Black" w:hAnsi="Arial Black"/>
                <w:b/>
                <w:bCs/>
                <w:color w:val="000000"/>
                <w:szCs w:val="22"/>
                <w:lang w:eastAsia="en-US"/>
              </w:rPr>
              <w:t>FI</w:t>
            </w:r>
          </w:p>
        </w:tc>
        <w:tc>
          <w:tcPr>
            <w:tcW w:w="7200" w:type="dxa"/>
            <w:shd w:val="pct5" w:color="000000" w:fill="FFFFFF"/>
            <w:hideMark/>
          </w:tcPr>
          <w:p w:rsidR="00A46E21" w:rsidRPr="00B11B92" w:rsidRDefault="00A46E21" w:rsidP="00B11B92">
            <w:pPr>
              <w:spacing w:before="0" w:after="0"/>
              <w:rPr>
                <w:rFonts w:ascii="Lucida Bright" w:hAnsi="Lucida Bright"/>
                <w:color w:val="000000"/>
                <w:szCs w:val="22"/>
                <w:lang w:val="en-US" w:eastAsia="en-US"/>
              </w:rPr>
            </w:pPr>
            <w:r w:rsidRPr="00B11B92">
              <w:rPr>
                <w:rFonts w:ascii="Lucida Bright" w:hAnsi="Lucida Bright"/>
                <w:color w:val="000000"/>
                <w:szCs w:val="22"/>
                <w:lang w:eastAsia="en-US"/>
              </w:rPr>
              <w:t>Financial Instruction</w:t>
            </w:r>
          </w:p>
        </w:tc>
      </w:tr>
      <w:tr w:rsidR="00A46E21" w:rsidRPr="00B11B92" w:rsidTr="00B11B92">
        <w:trPr>
          <w:trHeight w:val="432"/>
        </w:trPr>
        <w:tc>
          <w:tcPr>
            <w:tcW w:w="1548" w:type="dxa"/>
            <w:shd w:val="pct20" w:color="000000" w:fill="FFFFFF"/>
            <w:hideMark/>
          </w:tcPr>
          <w:p w:rsidR="00A46E21" w:rsidRPr="00B11B92" w:rsidRDefault="00A46E21" w:rsidP="00B11B92">
            <w:pPr>
              <w:spacing w:before="0" w:after="0"/>
              <w:rPr>
                <w:rFonts w:ascii="Arial Black" w:hAnsi="Arial Black"/>
                <w:b/>
                <w:bCs/>
                <w:color w:val="000000"/>
                <w:szCs w:val="22"/>
                <w:lang w:val="en-US" w:eastAsia="en-US"/>
              </w:rPr>
            </w:pPr>
            <w:r w:rsidRPr="00B11B92">
              <w:rPr>
                <w:rFonts w:ascii="Arial Black" w:hAnsi="Arial Black"/>
                <w:b/>
                <w:bCs/>
                <w:color w:val="000000"/>
                <w:szCs w:val="22"/>
                <w:lang w:eastAsia="en-US"/>
              </w:rPr>
              <w:t>PFM</w:t>
            </w:r>
          </w:p>
        </w:tc>
        <w:tc>
          <w:tcPr>
            <w:tcW w:w="7200" w:type="dxa"/>
            <w:shd w:val="pct20" w:color="000000" w:fill="FFFFFF"/>
            <w:hideMark/>
          </w:tcPr>
          <w:p w:rsidR="00A46E21" w:rsidRPr="00B11B92" w:rsidRDefault="00A46E21" w:rsidP="00B11B92">
            <w:pPr>
              <w:spacing w:before="0" w:after="0"/>
              <w:rPr>
                <w:rFonts w:ascii="Lucida Bright" w:hAnsi="Lucida Bright"/>
                <w:color w:val="000000"/>
                <w:szCs w:val="22"/>
                <w:lang w:val="en-US" w:eastAsia="en-US"/>
              </w:rPr>
            </w:pPr>
            <w:r w:rsidRPr="00B11B92">
              <w:rPr>
                <w:rFonts w:ascii="Lucida Bright" w:hAnsi="Lucida Bright"/>
                <w:color w:val="000000"/>
                <w:szCs w:val="22"/>
                <w:lang w:eastAsia="en-US"/>
              </w:rPr>
              <w:t>Public Financial Management</w:t>
            </w:r>
          </w:p>
        </w:tc>
      </w:tr>
      <w:tr w:rsidR="00A46E21" w:rsidRPr="00B11B92" w:rsidTr="00B11B92">
        <w:trPr>
          <w:trHeight w:val="432"/>
        </w:trPr>
        <w:tc>
          <w:tcPr>
            <w:tcW w:w="1548" w:type="dxa"/>
            <w:shd w:val="pct5" w:color="000000" w:fill="FFFFFF"/>
            <w:hideMark/>
          </w:tcPr>
          <w:p w:rsidR="00A46E21" w:rsidRPr="00B11B92" w:rsidRDefault="00FE238E" w:rsidP="00B11B92">
            <w:pPr>
              <w:spacing w:before="0" w:after="0"/>
              <w:rPr>
                <w:rFonts w:ascii="Arial Black" w:hAnsi="Arial Black"/>
                <w:b/>
                <w:bCs/>
                <w:color w:val="000000"/>
                <w:szCs w:val="22"/>
                <w:lang w:val="en-US" w:eastAsia="en-US"/>
              </w:rPr>
            </w:pPr>
            <w:r>
              <w:rPr>
                <w:rFonts w:ascii="Arial Black" w:hAnsi="Arial Black"/>
                <w:b/>
                <w:bCs/>
                <w:color w:val="000000"/>
                <w:szCs w:val="22"/>
                <w:lang w:eastAsia="en-US"/>
              </w:rPr>
              <w:t>MFB&amp;EP</w:t>
            </w:r>
          </w:p>
        </w:tc>
        <w:tc>
          <w:tcPr>
            <w:tcW w:w="7200" w:type="dxa"/>
            <w:shd w:val="pct5" w:color="000000" w:fill="FFFFFF"/>
            <w:hideMark/>
          </w:tcPr>
          <w:p w:rsidR="00A46E21" w:rsidRPr="00B11B92" w:rsidRDefault="00A46E21" w:rsidP="00B11B92">
            <w:pPr>
              <w:spacing w:before="0" w:after="0"/>
              <w:rPr>
                <w:rFonts w:ascii="Lucida Bright" w:hAnsi="Lucida Bright"/>
                <w:color w:val="000000"/>
                <w:szCs w:val="22"/>
                <w:lang w:val="en-US" w:eastAsia="en-US"/>
              </w:rPr>
            </w:pPr>
            <w:r w:rsidRPr="00B11B92">
              <w:rPr>
                <w:rFonts w:ascii="Lucida Bright" w:hAnsi="Lucida Bright"/>
                <w:color w:val="000000"/>
                <w:szCs w:val="22"/>
                <w:lang w:eastAsia="en-US"/>
              </w:rPr>
              <w:t>Ministry of Budget and Planning</w:t>
            </w:r>
          </w:p>
        </w:tc>
      </w:tr>
      <w:tr w:rsidR="00A46E21" w:rsidRPr="00B11B92" w:rsidTr="00B11B92">
        <w:trPr>
          <w:trHeight w:val="432"/>
        </w:trPr>
        <w:tc>
          <w:tcPr>
            <w:tcW w:w="1548" w:type="dxa"/>
            <w:shd w:val="pct20" w:color="000000" w:fill="FFFFFF"/>
            <w:hideMark/>
          </w:tcPr>
          <w:p w:rsidR="00A46E21" w:rsidRPr="00B11B92" w:rsidRDefault="00A46E21" w:rsidP="00B11B92">
            <w:pPr>
              <w:spacing w:before="0" w:after="0"/>
              <w:rPr>
                <w:rFonts w:ascii="Arial Black" w:hAnsi="Arial Black"/>
                <w:b/>
                <w:bCs/>
                <w:color w:val="000000"/>
                <w:szCs w:val="22"/>
                <w:lang w:val="en-US" w:eastAsia="en-US"/>
              </w:rPr>
            </w:pPr>
            <w:r w:rsidRPr="00B11B92">
              <w:rPr>
                <w:rFonts w:ascii="Arial Black" w:hAnsi="Arial Black"/>
                <w:b/>
                <w:bCs/>
                <w:color w:val="000000"/>
                <w:szCs w:val="22"/>
                <w:lang w:eastAsia="en-US"/>
              </w:rPr>
              <w:t>DOP</w:t>
            </w:r>
          </w:p>
        </w:tc>
        <w:tc>
          <w:tcPr>
            <w:tcW w:w="7200" w:type="dxa"/>
            <w:shd w:val="pct20" w:color="000000" w:fill="FFFFFF"/>
            <w:hideMark/>
          </w:tcPr>
          <w:p w:rsidR="00A46E21" w:rsidRPr="00B11B92" w:rsidRDefault="00A46E21" w:rsidP="00B11B92">
            <w:pPr>
              <w:spacing w:before="0" w:after="0"/>
              <w:rPr>
                <w:rFonts w:ascii="Lucida Bright" w:hAnsi="Lucida Bright"/>
                <w:color w:val="000000"/>
                <w:szCs w:val="22"/>
                <w:lang w:val="en-US" w:eastAsia="en-US"/>
              </w:rPr>
            </w:pPr>
            <w:r w:rsidRPr="00B11B92">
              <w:rPr>
                <w:rFonts w:ascii="Lucida Bright" w:hAnsi="Lucida Bright"/>
                <w:color w:val="000000"/>
                <w:szCs w:val="22"/>
                <w:lang w:eastAsia="en-US"/>
              </w:rPr>
              <w:t>Director of Planning</w:t>
            </w:r>
          </w:p>
        </w:tc>
      </w:tr>
      <w:tr w:rsidR="00A46E21" w:rsidRPr="00B11B92" w:rsidTr="00B11B92">
        <w:trPr>
          <w:trHeight w:val="432"/>
        </w:trPr>
        <w:tc>
          <w:tcPr>
            <w:tcW w:w="1548" w:type="dxa"/>
            <w:shd w:val="pct5" w:color="000000" w:fill="FFFFFF"/>
            <w:hideMark/>
          </w:tcPr>
          <w:p w:rsidR="00A46E21" w:rsidRPr="00B11B92" w:rsidRDefault="00A46E21" w:rsidP="00B11B92">
            <w:pPr>
              <w:spacing w:before="0" w:after="0"/>
              <w:rPr>
                <w:rFonts w:ascii="Arial Black" w:hAnsi="Arial Black"/>
                <w:b/>
                <w:bCs/>
                <w:color w:val="000000"/>
                <w:szCs w:val="22"/>
                <w:lang w:val="en-US" w:eastAsia="en-US"/>
              </w:rPr>
            </w:pPr>
            <w:r w:rsidRPr="00B11B92">
              <w:rPr>
                <w:rFonts w:ascii="Arial Black" w:hAnsi="Arial Black"/>
                <w:b/>
                <w:bCs/>
                <w:color w:val="000000"/>
                <w:szCs w:val="22"/>
                <w:lang w:eastAsia="en-US"/>
              </w:rPr>
              <w:t>DOB</w:t>
            </w:r>
          </w:p>
        </w:tc>
        <w:tc>
          <w:tcPr>
            <w:tcW w:w="7200" w:type="dxa"/>
            <w:shd w:val="pct5" w:color="000000" w:fill="FFFFFF"/>
            <w:hideMark/>
          </w:tcPr>
          <w:p w:rsidR="00A46E21" w:rsidRPr="00B11B92" w:rsidRDefault="00A46E21" w:rsidP="00B11B92">
            <w:pPr>
              <w:spacing w:before="0" w:after="0"/>
              <w:rPr>
                <w:rFonts w:ascii="Lucida Bright" w:hAnsi="Lucida Bright"/>
                <w:color w:val="000000"/>
                <w:szCs w:val="22"/>
                <w:lang w:val="en-US" w:eastAsia="en-US"/>
              </w:rPr>
            </w:pPr>
            <w:r w:rsidRPr="00B11B92">
              <w:rPr>
                <w:rFonts w:ascii="Lucida Bright" w:hAnsi="Lucida Bright"/>
                <w:color w:val="000000"/>
                <w:szCs w:val="22"/>
                <w:lang w:eastAsia="en-US"/>
              </w:rPr>
              <w:t>Director of Budget</w:t>
            </w:r>
          </w:p>
        </w:tc>
      </w:tr>
      <w:tr w:rsidR="00A46E21" w:rsidRPr="00B11B92" w:rsidTr="00B11B92">
        <w:trPr>
          <w:trHeight w:val="432"/>
        </w:trPr>
        <w:tc>
          <w:tcPr>
            <w:tcW w:w="1548" w:type="dxa"/>
            <w:shd w:val="pct20" w:color="000000" w:fill="FFFFFF"/>
            <w:hideMark/>
          </w:tcPr>
          <w:p w:rsidR="00A46E21" w:rsidRPr="00B11B92" w:rsidRDefault="00A46E21" w:rsidP="00B11B92">
            <w:pPr>
              <w:spacing w:before="0" w:after="0"/>
              <w:rPr>
                <w:rFonts w:ascii="Arial Black" w:hAnsi="Arial Black"/>
                <w:b/>
                <w:bCs/>
                <w:color w:val="000000"/>
                <w:szCs w:val="22"/>
                <w:lang w:val="en-US" w:eastAsia="en-US"/>
              </w:rPr>
            </w:pPr>
            <w:r w:rsidRPr="00B11B92">
              <w:rPr>
                <w:rFonts w:ascii="Arial Black" w:hAnsi="Arial Black"/>
                <w:b/>
                <w:bCs/>
                <w:color w:val="000000"/>
                <w:szCs w:val="22"/>
                <w:lang w:eastAsia="en-US"/>
              </w:rPr>
              <w:t>SG</w:t>
            </w:r>
          </w:p>
        </w:tc>
        <w:tc>
          <w:tcPr>
            <w:tcW w:w="7200" w:type="dxa"/>
            <w:shd w:val="pct20" w:color="000000" w:fill="FFFFFF"/>
            <w:hideMark/>
          </w:tcPr>
          <w:p w:rsidR="00A46E21" w:rsidRPr="00B11B92" w:rsidRDefault="00A46E21" w:rsidP="00B11B92">
            <w:pPr>
              <w:spacing w:before="0" w:after="0"/>
              <w:rPr>
                <w:rFonts w:ascii="Lucida Bright" w:hAnsi="Lucida Bright"/>
                <w:color w:val="000000"/>
                <w:szCs w:val="22"/>
                <w:lang w:val="en-US" w:eastAsia="en-US"/>
              </w:rPr>
            </w:pPr>
            <w:r w:rsidRPr="00B11B92">
              <w:rPr>
                <w:rFonts w:ascii="Lucida Bright" w:hAnsi="Lucida Bright"/>
                <w:color w:val="000000"/>
                <w:szCs w:val="22"/>
                <w:lang w:eastAsia="en-US"/>
              </w:rPr>
              <w:t>Statistician General</w:t>
            </w:r>
          </w:p>
        </w:tc>
      </w:tr>
      <w:tr w:rsidR="00A46E21" w:rsidRPr="00B11B92" w:rsidTr="00B11B92">
        <w:trPr>
          <w:trHeight w:val="432"/>
        </w:trPr>
        <w:tc>
          <w:tcPr>
            <w:tcW w:w="1548" w:type="dxa"/>
            <w:shd w:val="pct5" w:color="000000" w:fill="FFFFFF"/>
            <w:hideMark/>
          </w:tcPr>
          <w:p w:rsidR="00A46E21" w:rsidRPr="00B11B92" w:rsidRDefault="00A46E21" w:rsidP="00B11B92">
            <w:pPr>
              <w:spacing w:before="0" w:after="0"/>
              <w:rPr>
                <w:rFonts w:ascii="Arial Black" w:hAnsi="Arial Black"/>
                <w:b/>
                <w:bCs/>
                <w:color w:val="000000"/>
                <w:szCs w:val="22"/>
                <w:lang w:val="en-US" w:eastAsia="en-US"/>
              </w:rPr>
            </w:pPr>
            <w:r w:rsidRPr="00B11B92">
              <w:rPr>
                <w:rFonts w:ascii="Arial Black" w:hAnsi="Arial Black"/>
                <w:b/>
                <w:bCs/>
                <w:color w:val="000000"/>
                <w:szCs w:val="22"/>
                <w:lang w:eastAsia="en-US"/>
              </w:rPr>
              <w:t>PCNI</w:t>
            </w:r>
          </w:p>
        </w:tc>
        <w:tc>
          <w:tcPr>
            <w:tcW w:w="7200" w:type="dxa"/>
            <w:shd w:val="pct5" w:color="000000" w:fill="FFFFFF"/>
            <w:hideMark/>
          </w:tcPr>
          <w:p w:rsidR="00A46E21" w:rsidRPr="00B11B92" w:rsidRDefault="00A46E21" w:rsidP="00B11B92">
            <w:pPr>
              <w:spacing w:before="0" w:after="0"/>
              <w:rPr>
                <w:rFonts w:ascii="Lucida Bright" w:hAnsi="Lucida Bright"/>
                <w:color w:val="000000"/>
                <w:szCs w:val="22"/>
                <w:lang w:val="en-US" w:eastAsia="en-US"/>
              </w:rPr>
            </w:pPr>
            <w:r w:rsidRPr="00B11B92">
              <w:rPr>
                <w:rFonts w:ascii="Lucida Bright" w:hAnsi="Lucida Bright"/>
                <w:color w:val="000000"/>
                <w:szCs w:val="22"/>
                <w:lang w:eastAsia="en-US"/>
              </w:rPr>
              <w:t>Presidential Committee on North East Initiative</w:t>
            </w:r>
          </w:p>
        </w:tc>
      </w:tr>
      <w:tr w:rsidR="00A46E21" w:rsidRPr="00B11B92" w:rsidTr="00B11B92">
        <w:trPr>
          <w:trHeight w:val="432"/>
        </w:trPr>
        <w:tc>
          <w:tcPr>
            <w:tcW w:w="1548" w:type="dxa"/>
            <w:shd w:val="pct20" w:color="000000" w:fill="FFFFFF"/>
            <w:hideMark/>
          </w:tcPr>
          <w:p w:rsidR="00A46E21" w:rsidRPr="00B11B92" w:rsidRDefault="00A46E21" w:rsidP="00B11B92">
            <w:pPr>
              <w:spacing w:before="0" w:after="0"/>
              <w:rPr>
                <w:rFonts w:ascii="Arial Black" w:hAnsi="Arial Black"/>
                <w:b/>
                <w:bCs/>
                <w:color w:val="000000"/>
                <w:szCs w:val="22"/>
                <w:lang w:val="en-US" w:eastAsia="en-US"/>
              </w:rPr>
            </w:pPr>
            <w:r w:rsidRPr="00B11B92">
              <w:rPr>
                <w:rFonts w:ascii="Arial Black" w:hAnsi="Arial Black"/>
                <w:b/>
                <w:bCs/>
                <w:color w:val="000000"/>
                <w:szCs w:val="22"/>
                <w:lang w:eastAsia="en-US"/>
              </w:rPr>
              <w:t>NIRP</w:t>
            </w:r>
          </w:p>
        </w:tc>
        <w:tc>
          <w:tcPr>
            <w:tcW w:w="7200" w:type="dxa"/>
            <w:shd w:val="pct20" w:color="000000" w:fill="FFFFFF"/>
            <w:hideMark/>
          </w:tcPr>
          <w:p w:rsidR="00A46E21" w:rsidRPr="00B11B92" w:rsidRDefault="00A46E21" w:rsidP="00B11B92">
            <w:pPr>
              <w:spacing w:before="0" w:after="0"/>
              <w:rPr>
                <w:rFonts w:ascii="Lucida Bright" w:hAnsi="Lucida Bright"/>
                <w:color w:val="000000"/>
                <w:szCs w:val="22"/>
                <w:lang w:val="en-US" w:eastAsia="en-US"/>
              </w:rPr>
            </w:pPr>
            <w:r w:rsidRPr="00B11B92">
              <w:rPr>
                <w:rFonts w:ascii="Lucida Bright" w:hAnsi="Lucida Bright"/>
                <w:color w:val="000000"/>
                <w:szCs w:val="22"/>
                <w:lang w:eastAsia="en-US"/>
              </w:rPr>
              <w:t>Nigerian Industrial Revolution Plan</w:t>
            </w:r>
          </w:p>
        </w:tc>
      </w:tr>
      <w:tr w:rsidR="00A46E21" w:rsidRPr="00B11B92" w:rsidTr="00B11B92">
        <w:trPr>
          <w:trHeight w:val="432"/>
        </w:trPr>
        <w:tc>
          <w:tcPr>
            <w:tcW w:w="1548" w:type="dxa"/>
            <w:shd w:val="pct5" w:color="000000" w:fill="FFFFFF"/>
            <w:hideMark/>
          </w:tcPr>
          <w:p w:rsidR="00A46E21" w:rsidRPr="00B11B92" w:rsidRDefault="00A46E21" w:rsidP="00B11B92">
            <w:pPr>
              <w:spacing w:before="0" w:after="0"/>
              <w:rPr>
                <w:rFonts w:ascii="Arial Black" w:hAnsi="Arial Black"/>
                <w:b/>
                <w:bCs/>
                <w:color w:val="000000"/>
                <w:szCs w:val="22"/>
                <w:lang w:val="en-US" w:eastAsia="en-US"/>
              </w:rPr>
            </w:pPr>
            <w:r w:rsidRPr="00B11B92">
              <w:rPr>
                <w:rFonts w:ascii="Arial Black" w:hAnsi="Arial Black"/>
                <w:b/>
                <w:bCs/>
                <w:color w:val="000000"/>
                <w:szCs w:val="22"/>
                <w:lang w:eastAsia="en-US"/>
              </w:rPr>
              <w:t>OPEC</w:t>
            </w:r>
          </w:p>
        </w:tc>
        <w:tc>
          <w:tcPr>
            <w:tcW w:w="7200" w:type="dxa"/>
            <w:shd w:val="pct5" w:color="000000" w:fill="FFFFFF"/>
            <w:hideMark/>
          </w:tcPr>
          <w:p w:rsidR="00A46E21" w:rsidRPr="00B11B92" w:rsidRDefault="00A46E21" w:rsidP="00B11B92">
            <w:pPr>
              <w:spacing w:before="0" w:after="0"/>
              <w:rPr>
                <w:rFonts w:ascii="Lucida Bright" w:hAnsi="Lucida Bright"/>
                <w:color w:val="000000"/>
                <w:szCs w:val="22"/>
                <w:lang w:val="en-US" w:eastAsia="en-US"/>
              </w:rPr>
            </w:pPr>
            <w:r w:rsidRPr="00B11B92">
              <w:rPr>
                <w:rFonts w:ascii="Lucida Bright" w:hAnsi="Lucida Bright"/>
                <w:color w:val="000000"/>
                <w:szCs w:val="22"/>
                <w:lang w:eastAsia="en-US"/>
              </w:rPr>
              <w:t>Organisation of Petroleum Exporting Countries</w:t>
            </w:r>
          </w:p>
        </w:tc>
      </w:tr>
      <w:tr w:rsidR="00A46E21" w:rsidRPr="00B11B92" w:rsidTr="00B11B92">
        <w:trPr>
          <w:trHeight w:val="432"/>
        </w:trPr>
        <w:tc>
          <w:tcPr>
            <w:tcW w:w="1548" w:type="dxa"/>
            <w:shd w:val="pct20" w:color="000000" w:fill="FFFFFF"/>
            <w:hideMark/>
          </w:tcPr>
          <w:p w:rsidR="00A46E21" w:rsidRPr="00B11B92" w:rsidRDefault="00A46E21" w:rsidP="00B11B92">
            <w:pPr>
              <w:spacing w:before="0" w:after="0"/>
              <w:rPr>
                <w:rFonts w:ascii="Arial Black" w:hAnsi="Arial Black"/>
                <w:b/>
                <w:bCs/>
                <w:color w:val="000000"/>
                <w:szCs w:val="22"/>
                <w:lang w:val="en-US" w:eastAsia="en-US"/>
              </w:rPr>
            </w:pPr>
            <w:r w:rsidRPr="00B11B92">
              <w:rPr>
                <w:rFonts w:ascii="Arial Black" w:hAnsi="Arial Black"/>
                <w:b/>
                <w:bCs/>
                <w:color w:val="000000"/>
                <w:szCs w:val="22"/>
                <w:lang w:eastAsia="en-US"/>
              </w:rPr>
              <w:t>TNP</w:t>
            </w:r>
          </w:p>
        </w:tc>
        <w:tc>
          <w:tcPr>
            <w:tcW w:w="7200" w:type="dxa"/>
            <w:shd w:val="pct20" w:color="000000" w:fill="FFFFFF"/>
            <w:hideMark/>
          </w:tcPr>
          <w:p w:rsidR="00A46E21" w:rsidRPr="00B11B92" w:rsidRDefault="00A46E21" w:rsidP="00B11B92">
            <w:pPr>
              <w:spacing w:before="0" w:after="0"/>
              <w:rPr>
                <w:rFonts w:ascii="Lucida Bright" w:hAnsi="Lucida Bright"/>
                <w:color w:val="000000"/>
                <w:szCs w:val="22"/>
                <w:lang w:val="en-US" w:eastAsia="en-US"/>
              </w:rPr>
            </w:pPr>
            <w:r w:rsidRPr="00B11B92">
              <w:rPr>
                <w:rFonts w:ascii="Lucida Bright" w:hAnsi="Lucida Bright"/>
                <w:color w:val="000000"/>
                <w:szCs w:val="22"/>
                <w:lang w:eastAsia="en-US"/>
              </w:rPr>
              <w:t>Trans Niger Pipeline</w:t>
            </w:r>
          </w:p>
        </w:tc>
      </w:tr>
      <w:tr w:rsidR="00A46E21" w:rsidRPr="00B11B92" w:rsidTr="00B11B92">
        <w:trPr>
          <w:trHeight w:val="432"/>
        </w:trPr>
        <w:tc>
          <w:tcPr>
            <w:tcW w:w="1548" w:type="dxa"/>
            <w:shd w:val="pct5" w:color="000000" w:fill="FFFFFF"/>
            <w:hideMark/>
          </w:tcPr>
          <w:p w:rsidR="00A46E21" w:rsidRPr="00B11B92" w:rsidRDefault="00A46E21" w:rsidP="00B11B92">
            <w:pPr>
              <w:spacing w:before="0" w:after="0"/>
              <w:rPr>
                <w:rFonts w:ascii="Arial Black" w:hAnsi="Arial Black"/>
                <w:b/>
                <w:bCs/>
                <w:color w:val="000000"/>
                <w:szCs w:val="22"/>
                <w:lang w:val="en-US" w:eastAsia="en-US"/>
              </w:rPr>
            </w:pPr>
            <w:r w:rsidRPr="00B11B92">
              <w:rPr>
                <w:rFonts w:ascii="Arial Black" w:hAnsi="Arial Black"/>
                <w:b/>
                <w:bCs/>
                <w:color w:val="000000"/>
                <w:szCs w:val="22"/>
                <w:lang w:eastAsia="en-US"/>
              </w:rPr>
              <w:t>NCTL</w:t>
            </w:r>
          </w:p>
        </w:tc>
        <w:tc>
          <w:tcPr>
            <w:tcW w:w="7200" w:type="dxa"/>
            <w:shd w:val="pct5" w:color="000000" w:fill="FFFFFF"/>
            <w:hideMark/>
          </w:tcPr>
          <w:p w:rsidR="00A46E21" w:rsidRPr="00B11B92" w:rsidRDefault="00A46E21" w:rsidP="00B11B92">
            <w:pPr>
              <w:spacing w:before="0" w:after="0"/>
              <w:rPr>
                <w:rFonts w:ascii="Lucida Bright" w:hAnsi="Lucida Bright"/>
                <w:color w:val="000000"/>
                <w:szCs w:val="22"/>
                <w:lang w:val="en-US" w:eastAsia="en-US"/>
              </w:rPr>
            </w:pPr>
            <w:r w:rsidRPr="00B11B92">
              <w:rPr>
                <w:rFonts w:ascii="Lucida Bright" w:hAnsi="Lucida Bright"/>
                <w:color w:val="000000"/>
                <w:szCs w:val="22"/>
                <w:lang w:eastAsia="en-US"/>
              </w:rPr>
              <w:t>Nembe Creek Trunk Line</w:t>
            </w:r>
          </w:p>
        </w:tc>
      </w:tr>
      <w:tr w:rsidR="00A46E21" w:rsidRPr="00B11B92" w:rsidTr="00B11B92">
        <w:trPr>
          <w:trHeight w:val="432"/>
        </w:trPr>
        <w:tc>
          <w:tcPr>
            <w:tcW w:w="1548" w:type="dxa"/>
            <w:shd w:val="pct20" w:color="000000" w:fill="FFFFFF"/>
            <w:hideMark/>
          </w:tcPr>
          <w:p w:rsidR="00A46E21" w:rsidRPr="00B11B92" w:rsidRDefault="00A46E21" w:rsidP="00B11B92">
            <w:pPr>
              <w:spacing w:before="0" w:after="0"/>
              <w:rPr>
                <w:rFonts w:ascii="Arial Black" w:hAnsi="Arial Black"/>
                <w:b/>
                <w:bCs/>
                <w:color w:val="000000"/>
                <w:szCs w:val="22"/>
                <w:lang w:val="en-US" w:eastAsia="en-US"/>
              </w:rPr>
            </w:pPr>
            <w:r w:rsidRPr="00B11B92">
              <w:rPr>
                <w:rFonts w:ascii="Arial Black" w:hAnsi="Arial Black"/>
                <w:b/>
                <w:bCs/>
                <w:color w:val="000000"/>
                <w:szCs w:val="22"/>
                <w:lang w:eastAsia="en-US"/>
              </w:rPr>
              <w:t>LGAs</w:t>
            </w:r>
          </w:p>
        </w:tc>
        <w:tc>
          <w:tcPr>
            <w:tcW w:w="7200" w:type="dxa"/>
            <w:shd w:val="pct20" w:color="000000" w:fill="FFFFFF"/>
            <w:hideMark/>
          </w:tcPr>
          <w:p w:rsidR="00A46E21" w:rsidRPr="00B11B92" w:rsidRDefault="00A46E21" w:rsidP="00B11B92">
            <w:pPr>
              <w:spacing w:before="0" w:after="0"/>
              <w:rPr>
                <w:rFonts w:ascii="Lucida Bright" w:hAnsi="Lucida Bright"/>
                <w:color w:val="000000"/>
                <w:szCs w:val="22"/>
                <w:lang w:val="en-US" w:eastAsia="en-US"/>
              </w:rPr>
            </w:pPr>
            <w:r w:rsidRPr="00B11B92">
              <w:rPr>
                <w:rFonts w:ascii="Lucida Bright" w:hAnsi="Lucida Bright"/>
                <w:color w:val="000000"/>
                <w:szCs w:val="22"/>
                <w:lang w:eastAsia="en-US"/>
              </w:rPr>
              <w:t>Local Government Areas</w:t>
            </w:r>
          </w:p>
        </w:tc>
      </w:tr>
      <w:tr w:rsidR="00A46E21" w:rsidRPr="00B11B92" w:rsidTr="00B11B92">
        <w:trPr>
          <w:trHeight w:val="432"/>
        </w:trPr>
        <w:tc>
          <w:tcPr>
            <w:tcW w:w="1548" w:type="dxa"/>
            <w:shd w:val="pct5" w:color="000000" w:fill="FFFFFF"/>
            <w:hideMark/>
          </w:tcPr>
          <w:p w:rsidR="00A46E21" w:rsidRPr="00B11B92" w:rsidRDefault="00A46E21" w:rsidP="00B11B92">
            <w:pPr>
              <w:spacing w:before="0" w:after="0"/>
              <w:rPr>
                <w:rFonts w:ascii="Arial Black" w:hAnsi="Arial Black"/>
                <w:b/>
                <w:bCs/>
                <w:color w:val="000000"/>
                <w:szCs w:val="22"/>
                <w:lang w:val="en-US" w:eastAsia="en-US"/>
              </w:rPr>
            </w:pPr>
            <w:r w:rsidRPr="00B11B92">
              <w:rPr>
                <w:rFonts w:ascii="Arial Black" w:hAnsi="Arial Black"/>
                <w:b/>
                <w:bCs/>
                <w:color w:val="000000"/>
                <w:szCs w:val="22"/>
                <w:lang w:eastAsia="en-US"/>
              </w:rPr>
              <w:t>POP</w:t>
            </w:r>
          </w:p>
        </w:tc>
        <w:tc>
          <w:tcPr>
            <w:tcW w:w="7200" w:type="dxa"/>
            <w:shd w:val="pct5" w:color="000000" w:fill="FFFFFF"/>
            <w:hideMark/>
          </w:tcPr>
          <w:p w:rsidR="00A46E21" w:rsidRPr="00B11B92" w:rsidRDefault="00A46E21" w:rsidP="00B11B92">
            <w:pPr>
              <w:spacing w:before="0" w:after="0"/>
              <w:rPr>
                <w:rFonts w:ascii="Lucida Bright" w:hAnsi="Lucida Bright"/>
                <w:color w:val="000000"/>
                <w:szCs w:val="22"/>
                <w:lang w:val="en-US" w:eastAsia="en-US"/>
              </w:rPr>
            </w:pPr>
            <w:r w:rsidRPr="00B11B92">
              <w:rPr>
                <w:rFonts w:ascii="Lucida Bright" w:hAnsi="Lucida Bright"/>
                <w:color w:val="000000"/>
                <w:szCs w:val="22"/>
                <w:lang w:eastAsia="en-US"/>
              </w:rPr>
              <w:t>Plaster of Paris</w:t>
            </w:r>
          </w:p>
        </w:tc>
      </w:tr>
      <w:tr w:rsidR="00A46E21" w:rsidRPr="00B11B92" w:rsidTr="00B11B92">
        <w:trPr>
          <w:trHeight w:val="432"/>
        </w:trPr>
        <w:tc>
          <w:tcPr>
            <w:tcW w:w="1548" w:type="dxa"/>
            <w:shd w:val="pct20" w:color="000000" w:fill="FFFFFF"/>
            <w:hideMark/>
          </w:tcPr>
          <w:p w:rsidR="00A46E21" w:rsidRPr="00B11B92" w:rsidRDefault="00A46E21" w:rsidP="00B11B92">
            <w:pPr>
              <w:spacing w:before="0" w:after="0"/>
              <w:rPr>
                <w:rFonts w:ascii="Arial Black" w:hAnsi="Arial Black"/>
                <w:b/>
                <w:bCs/>
                <w:color w:val="000000"/>
                <w:szCs w:val="22"/>
                <w:lang w:val="en-US" w:eastAsia="en-US"/>
              </w:rPr>
            </w:pPr>
            <w:r w:rsidRPr="00B11B92">
              <w:rPr>
                <w:rFonts w:ascii="Arial Black" w:hAnsi="Arial Black"/>
                <w:b/>
                <w:bCs/>
                <w:color w:val="000000"/>
                <w:szCs w:val="22"/>
                <w:lang w:eastAsia="en-US"/>
              </w:rPr>
              <w:t>FIRS</w:t>
            </w:r>
          </w:p>
        </w:tc>
        <w:tc>
          <w:tcPr>
            <w:tcW w:w="7200" w:type="dxa"/>
            <w:shd w:val="pct20" w:color="000000" w:fill="FFFFFF"/>
            <w:hideMark/>
          </w:tcPr>
          <w:p w:rsidR="00A46E21" w:rsidRPr="00B11B92" w:rsidRDefault="00A46E21" w:rsidP="00B11B92">
            <w:pPr>
              <w:spacing w:before="0" w:after="0"/>
              <w:rPr>
                <w:rFonts w:ascii="Lucida Bright" w:hAnsi="Lucida Bright"/>
                <w:color w:val="000000"/>
                <w:szCs w:val="22"/>
                <w:lang w:val="en-US" w:eastAsia="en-US"/>
              </w:rPr>
            </w:pPr>
            <w:r w:rsidRPr="00B11B92">
              <w:rPr>
                <w:rFonts w:ascii="Lucida Bright" w:hAnsi="Lucida Bright"/>
                <w:color w:val="000000"/>
                <w:szCs w:val="22"/>
                <w:lang w:eastAsia="en-US"/>
              </w:rPr>
              <w:t>Federal Inland Revenue Service</w:t>
            </w:r>
          </w:p>
        </w:tc>
      </w:tr>
      <w:tr w:rsidR="00A46E21" w:rsidRPr="00B11B92" w:rsidTr="00B11B92">
        <w:trPr>
          <w:trHeight w:val="432"/>
        </w:trPr>
        <w:tc>
          <w:tcPr>
            <w:tcW w:w="1548" w:type="dxa"/>
            <w:shd w:val="pct5" w:color="000000" w:fill="FFFFFF"/>
            <w:hideMark/>
          </w:tcPr>
          <w:p w:rsidR="00A46E21" w:rsidRPr="00B11B92" w:rsidRDefault="00A46E21" w:rsidP="00B11B92">
            <w:pPr>
              <w:spacing w:before="0" w:after="0"/>
              <w:rPr>
                <w:rFonts w:ascii="Arial Black" w:hAnsi="Arial Black"/>
                <w:b/>
                <w:bCs/>
                <w:color w:val="000000"/>
                <w:szCs w:val="22"/>
                <w:lang w:val="en-US" w:eastAsia="en-US"/>
              </w:rPr>
            </w:pPr>
            <w:r w:rsidRPr="00B11B92">
              <w:rPr>
                <w:rFonts w:ascii="Arial Black" w:hAnsi="Arial Black"/>
                <w:b/>
                <w:bCs/>
                <w:color w:val="000000"/>
                <w:szCs w:val="22"/>
                <w:lang w:eastAsia="en-US"/>
              </w:rPr>
              <w:t>NGN</w:t>
            </w:r>
          </w:p>
        </w:tc>
        <w:tc>
          <w:tcPr>
            <w:tcW w:w="7200" w:type="dxa"/>
            <w:shd w:val="pct5" w:color="000000" w:fill="FFFFFF"/>
            <w:hideMark/>
          </w:tcPr>
          <w:p w:rsidR="00A46E21" w:rsidRPr="00B11B92" w:rsidRDefault="00A46E21" w:rsidP="00B11B92">
            <w:pPr>
              <w:spacing w:before="0" w:after="0"/>
              <w:rPr>
                <w:rFonts w:ascii="Lucida Bright" w:hAnsi="Lucida Bright"/>
                <w:color w:val="000000"/>
                <w:szCs w:val="22"/>
                <w:lang w:val="en-US" w:eastAsia="en-US"/>
              </w:rPr>
            </w:pPr>
            <w:r w:rsidRPr="00B11B92">
              <w:rPr>
                <w:rFonts w:ascii="Lucida Bright" w:hAnsi="Lucida Bright"/>
                <w:color w:val="000000"/>
                <w:szCs w:val="22"/>
                <w:lang w:eastAsia="en-US"/>
              </w:rPr>
              <w:t>Nigeria Naira</w:t>
            </w:r>
          </w:p>
        </w:tc>
      </w:tr>
      <w:tr w:rsidR="00A46E21" w:rsidRPr="00B11B92" w:rsidTr="00B11B92">
        <w:trPr>
          <w:trHeight w:val="432"/>
        </w:trPr>
        <w:tc>
          <w:tcPr>
            <w:tcW w:w="1548" w:type="dxa"/>
            <w:shd w:val="pct20" w:color="000000" w:fill="FFFFFF"/>
            <w:hideMark/>
          </w:tcPr>
          <w:p w:rsidR="00A46E21" w:rsidRPr="00B11B92" w:rsidRDefault="00A46E21" w:rsidP="00B11B92">
            <w:pPr>
              <w:spacing w:before="0" w:after="0"/>
              <w:rPr>
                <w:rFonts w:ascii="Arial Black" w:hAnsi="Arial Black"/>
                <w:b/>
                <w:bCs/>
                <w:color w:val="000000"/>
                <w:szCs w:val="22"/>
                <w:lang w:val="en-US" w:eastAsia="en-US"/>
              </w:rPr>
            </w:pPr>
            <w:r w:rsidRPr="00B11B92">
              <w:rPr>
                <w:rFonts w:ascii="Arial Black" w:hAnsi="Arial Black"/>
                <w:b/>
                <w:bCs/>
                <w:color w:val="000000"/>
                <w:szCs w:val="22"/>
                <w:lang w:eastAsia="en-US"/>
              </w:rPr>
              <w:t>USD</w:t>
            </w:r>
          </w:p>
        </w:tc>
        <w:tc>
          <w:tcPr>
            <w:tcW w:w="7200" w:type="dxa"/>
            <w:shd w:val="pct20" w:color="000000" w:fill="FFFFFF"/>
            <w:hideMark/>
          </w:tcPr>
          <w:p w:rsidR="00A46E21" w:rsidRPr="00B11B92" w:rsidRDefault="00A46E21" w:rsidP="00B11B92">
            <w:pPr>
              <w:spacing w:before="0" w:after="0"/>
              <w:rPr>
                <w:rFonts w:ascii="Lucida Bright" w:hAnsi="Lucida Bright"/>
                <w:color w:val="000000"/>
                <w:szCs w:val="22"/>
                <w:lang w:val="en-US" w:eastAsia="en-US"/>
              </w:rPr>
            </w:pPr>
            <w:r w:rsidRPr="00B11B92">
              <w:rPr>
                <w:rFonts w:ascii="Lucida Bright" w:hAnsi="Lucida Bright"/>
                <w:color w:val="000000"/>
                <w:szCs w:val="22"/>
                <w:lang w:eastAsia="en-US"/>
              </w:rPr>
              <w:t>United States Dollars</w:t>
            </w:r>
          </w:p>
        </w:tc>
      </w:tr>
      <w:tr w:rsidR="00A46E21" w:rsidRPr="00B11B92" w:rsidTr="00B11B92">
        <w:trPr>
          <w:trHeight w:val="432"/>
        </w:trPr>
        <w:tc>
          <w:tcPr>
            <w:tcW w:w="1548" w:type="dxa"/>
            <w:shd w:val="pct5" w:color="000000" w:fill="FFFFFF"/>
            <w:hideMark/>
          </w:tcPr>
          <w:p w:rsidR="00A46E21" w:rsidRPr="00B11B92" w:rsidRDefault="00A46E21" w:rsidP="00B11B92">
            <w:pPr>
              <w:spacing w:before="0" w:after="0"/>
              <w:rPr>
                <w:rFonts w:ascii="Arial Black" w:hAnsi="Arial Black"/>
                <w:b/>
                <w:bCs/>
                <w:color w:val="000000"/>
                <w:szCs w:val="22"/>
                <w:lang w:val="en-US" w:eastAsia="en-US"/>
              </w:rPr>
            </w:pPr>
            <w:r w:rsidRPr="00B11B92">
              <w:rPr>
                <w:rFonts w:ascii="Arial Black" w:hAnsi="Arial Black"/>
                <w:b/>
                <w:bCs/>
                <w:color w:val="000000"/>
                <w:szCs w:val="22"/>
                <w:lang w:eastAsia="en-US"/>
              </w:rPr>
              <w:t>SDGs</w:t>
            </w:r>
          </w:p>
        </w:tc>
        <w:tc>
          <w:tcPr>
            <w:tcW w:w="7200" w:type="dxa"/>
            <w:shd w:val="pct5" w:color="000000" w:fill="FFFFFF"/>
            <w:hideMark/>
          </w:tcPr>
          <w:p w:rsidR="00A46E21" w:rsidRPr="00B11B92" w:rsidRDefault="00A46E21" w:rsidP="00B11B92">
            <w:pPr>
              <w:spacing w:before="0" w:after="0"/>
              <w:rPr>
                <w:rFonts w:ascii="Lucida Bright" w:hAnsi="Lucida Bright"/>
                <w:color w:val="000000"/>
                <w:szCs w:val="22"/>
                <w:lang w:val="en-US" w:eastAsia="en-US"/>
              </w:rPr>
            </w:pPr>
            <w:r w:rsidRPr="00B11B92">
              <w:rPr>
                <w:rFonts w:ascii="Lucida Bright" w:hAnsi="Lucida Bright"/>
                <w:color w:val="000000"/>
                <w:szCs w:val="22"/>
                <w:lang w:eastAsia="en-US"/>
              </w:rPr>
              <w:t>Sustainable Development Goals</w:t>
            </w:r>
          </w:p>
        </w:tc>
      </w:tr>
      <w:tr w:rsidR="00A46E21" w:rsidRPr="00B11B92" w:rsidTr="00B11B92">
        <w:trPr>
          <w:trHeight w:val="432"/>
        </w:trPr>
        <w:tc>
          <w:tcPr>
            <w:tcW w:w="1548" w:type="dxa"/>
            <w:shd w:val="pct20" w:color="000000" w:fill="FFFFFF"/>
            <w:hideMark/>
          </w:tcPr>
          <w:p w:rsidR="00A46E21" w:rsidRPr="00B11B92" w:rsidRDefault="00A46E21" w:rsidP="00B11B92">
            <w:pPr>
              <w:spacing w:before="0" w:after="0"/>
              <w:rPr>
                <w:rFonts w:ascii="Arial Black" w:hAnsi="Arial Black"/>
                <w:b/>
                <w:bCs/>
                <w:color w:val="000000"/>
                <w:szCs w:val="22"/>
                <w:lang w:val="en-US" w:eastAsia="en-US"/>
              </w:rPr>
            </w:pPr>
            <w:r w:rsidRPr="00B11B92">
              <w:rPr>
                <w:rFonts w:ascii="Arial Black" w:hAnsi="Arial Black"/>
                <w:b/>
                <w:bCs/>
                <w:color w:val="000000"/>
                <w:szCs w:val="22"/>
                <w:lang w:eastAsia="en-US"/>
              </w:rPr>
              <w:t>UNICEF</w:t>
            </w:r>
          </w:p>
        </w:tc>
        <w:tc>
          <w:tcPr>
            <w:tcW w:w="7200" w:type="dxa"/>
            <w:shd w:val="pct20" w:color="000000" w:fill="FFFFFF"/>
            <w:hideMark/>
          </w:tcPr>
          <w:p w:rsidR="00A46E21" w:rsidRPr="00B11B92" w:rsidRDefault="00A46E21" w:rsidP="00B11B92">
            <w:pPr>
              <w:spacing w:before="0" w:after="0"/>
              <w:rPr>
                <w:rFonts w:ascii="Lucida Bright" w:hAnsi="Lucida Bright"/>
                <w:color w:val="000000"/>
                <w:szCs w:val="22"/>
                <w:lang w:val="en-US" w:eastAsia="en-US"/>
              </w:rPr>
            </w:pPr>
            <w:r w:rsidRPr="00B11B92">
              <w:rPr>
                <w:rFonts w:ascii="Lucida Bright" w:hAnsi="Lucida Bright"/>
                <w:color w:val="000000"/>
                <w:szCs w:val="22"/>
                <w:lang w:eastAsia="en-US"/>
              </w:rPr>
              <w:t>United Nations Children Emergency Fund</w:t>
            </w:r>
          </w:p>
        </w:tc>
      </w:tr>
      <w:tr w:rsidR="00A46E21" w:rsidRPr="00B11B92" w:rsidTr="00B11B92">
        <w:trPr>
          <w:trHeight w:val="432"/>
        </w:trPr>
        <w:tc>
          <w:tcPr>
            <w:tcW w:w="1548" w:type="dxa"/>
            <w:shd w:val="pct5" w:color="000000" w:fill="FFFFFF"/>
            <w:hideMark/>
          </w:tcPr>
          <w:p w:rsidR="00A46E21" w:rsidRPr="00B11B92" w:rsidRDefault="00A46E21" w:rsidP="00B11B92">
            <w:pPr>
              <w:spacing w:before="0" w:after="0"/>
              <w:rPr>
                <w:rFonts w:ascii="Arial Black" w:hAnsi="Arial Black"/>
                <w:b/>
                <w:bCs/>
                <w:color w:val="000000"/>
                <w:szCs w:val="22"/>
                <w:lang w:val="en-US" w:eastAsia="en-US"/>
              </w:rPr>
            </w:pPr>
            <w:r w:rsidRPr="00B11B92">
              <w:rPr>
                <w:rFonts w:ascii="Arial Black" w:hAnsi="Arial Black"/>
                <w:b/>
                <w:bCs/>
                <w:color w:val="000000"/>
                <w:szCs w:val="22"/>
                <w:lang w:eastAsia="en-US"/>
              </w:rPr>
              <w:t>DFID</w:t>
            </w:r>
          </w:p>
        </w:tc>
        <w:tc>
          <w:tcPr>
            <w:tcW w:w="7200" w:type="dxa"/>
            <w:shd w:val="pct5" w:color="000000" w:fill="FFFFFF"/>
            <w:hideMark/>
          </w:tcPr>
          <w:p w:rsidR="00A46E21" w:rsidRPr="00B11B92" w:rsidRDefault="00A46E21" w:rsidP="00B11B92">
            <w:pPr>
              <w:spacing w:before="0" w:after="0"/>
              <w:rPr>
                <w:rFonts w:ascii="Lucida Bright" w:hAnsi="Lucida Bright"/>
                <w:color w:val="000000"/>
                <w:szCs w:val="22"/>
                <w:lang w:val="en-US" w:eastAsia="en-US"/>
              </w:rPr>
            </w:pPr>
            <w:r w:rsidRPr="00B11B92">
              <w:rPr>
                <w:rFonts w:ascii="Lucida Bright" w:hAnsi="Lucida Bright"/>
                <w:color w:val="000000"/>
                <w:szCs w:val="22"/>
                <w:lang w:eastAsia="en-US"/>
              </w:rPr>
              <w:t>Consolidated Revenue Fund</w:t>
            </w:r>
          </w:p>
        </w:tc>
      </w:tr>
      <w:tr w:rsidR="00A46E21" w:rsidRPr="00B11B92" w:rsidTr="00B11B92">
        <w:trPr>
          <w:trHeight w:val="432"/>
        </w:trPr>
        <w:tc>
          <w:tcPr>
            <w:tcW w:w="1548" w:type="dxa"/>
            <w:shd w:val="pct20" w:color="000000" w:fill="FFFFFF"/>
            <w:hideMark/>
          </w:tcPr>
          <w:p w:rsidR="00A46E21" w:rsidRPr="00B11B92" w:rsidRDefault="00A46E21" w:rsidP="00B11B92">
            <w:pPr>
              <w:spacing w:before="0" w:after="0"/>
              <w:rPr>
                <w:rFonts w:ascii="Arial Black" w:hAnsi="Arial Black"/>
                <w:b/>
                <w:bCs/>
                <w:color w:val="000000"/>
                <w:szCs w:val="22"/>
                <w:lang w:val="en-US" w:eastAsia="en-US"/>
              </w:rPr>
            </w:pPr>
            <w:r w:rsidRPr="00B11B92">
              <w:rPr>
                <w:rFonts w:ascii="Arial Black" w:hAnsi="Arial Black"/>
                <w:b/>
                <w:bCs/>
                <w:color w:val="000000"/>
                <w:szCs w:val="22"/>
                <w:lang w:eastAsia="en-US"/>
              </w:rPr>
              <w:t>CRF</w:t>
            </w:r>
          </w:p>
        </w:tc>
        <w:tc>
          <w:tcPr>
            <w:tcW w:w="7200" w:type="dxa"/>
            <w:shd w:val="pct20" w:color="000000" w:fill="FFFFFF"/>
            <w:hideMark/>
          </w:tcPr>
          <w:p w:rsidR="00A46E21" w:rsidRPr="00B11B92" w:rsidRDefault="00A46E21" w:rsidP="00B11B92">
            <w:pPr>
              <w:spacing w:before="0" w:after="0"/>
              <w:rPr>
                <w:rFonts w:ascii="Lucida Bright" w:hAnsi="Lucida Bright"/>
                <w:color w:val="000000"/>
                <w:szCs w:val="22"/>
                <w:lang w:val="en-US" w:eastAsia="en-US"/>
              </w:rPr>
            </w:pPr>
            <w:r w:rsidRPr="00B11B92">
              <w:rPr>
                <w:rFonts w:ascii="Lucida Bright" w:hAnsi="Lucida Bright"/>
                <w:color w:val="000000"/>
                <w:szCs w:val="22"/>
                <w:lang w:eastAsia="en-US"/>
              </w:rPr>
              <w:t>Department for International Development</w:t>
            </w:r>
          </w:p>
        </w:tc>
      </w:tr>
      <w:tr w:rsidR="00A46E21" w:rsidRPr="00B11B92" w:rsidTr="00B11B92">
        <w:trPr>
          <w:trHeight w:val="432"/>
        </w:trPr>
        <w:tc>
          <w:tcPr>
            <w:tcW w:w="1548" w:type="dxa"/>
            <w:shd w:val="pct5" w:color="000000" w:fill="FFFFFF"/>
            <w:hideMark/>
          </w:tcPr>
          <w:p w:rsidR="00A46E21" w:rsidRPr="00B11B92" w:rsidRDefault="00A46E21" w:rsidP="00B11B92">
            <w:pPr>
              <w:spacing w:before="0" w:after="0"/>
              <w:rPr>
                <w:rFonts w:ascii="Arial Black" w:hAnsi="Arial Black"/>
                <w:b/>
                <w:bCs/>
                <w:color w:val="000000"/>
                <w:szCs w:val="22"/>
                <w:lang w:val="en-US" w:eastAsia="en-US"/>
              </w:rPr>
            </w:pPr>
            <w:r w:rsidRPr="00B11B92">
              <w:rPr>
                <w:rFonts w:ascii="Arial Black" w:hAnsi="Arial Black"/>
                <w:b/>
                <w:bCs/>
                <w:color w:val="000000"/>
                <w:szCs w:val="22"/>
                <w:lang w:eastAsia="en-US"/>
              </w:rPr>
              <w:t>CPI</w:t>
            </w:r>
          </w:p>
        </w:tc>
        <w:tc>
          <w:tcPr>
            <w:tcW w:w="7200" w:type="dxa"/>
            <w:shd w:val="pct5" w:color="000000" w:fill="FFFFFF"/>
            <w:hideMark/>
          </w:tcPr>
          <w:p w:rsidR="00A46E21" w:rsidRPr="00B11B92" w:rsidRDefault="00A46E21" w:rsidP="00B11B92">
            <w:pPr>
              <w:spacing w:before="0" w:after="0"/>
              <w:rPr>
                <w:rFonts w:ascii="Lucida Bright" w:hAnsi="Lucida Bright"/>
                <w:color w:val="000000"/>
                <w:szCs w:val="22"/>
                <w:lang w:val="en-US" w:eastAsia="en-US"/>
              </w:rPr>
            </w:pPr>
            <w:r w:rsidRPr="00B11B92">
              <w:rPr>
                <w:rFonts w:ascii="Lucida Bright" w:hAnsi="Lucida Bright"/>
                <w:color w:val="000000"/>
                <w:szCs w:val="22"/>
                <w:lang w:eastAsia="en-US"/>
              </w:rPr>
              <w:t>Consumer Price Index</w:t>
            </w:r>
          </w:p>
        </w:tc>
      </w:tr>
      <w:tr w:rsidR="00A46E21" w:rsidRPr="00B11B92" w:rsidTr="00B11B92">
        <w:trPr>
          <w:trHeight w:val="432"/>
        </w:trPr>
        <w:tc>
          <w:tcPr>
            <w:tcW w:w="1548" w:type="dxa"/>
            <w:shd w:val="pct20" w:color="000000" w:fill="FFFFFF"/>
            <w:hideMark/>
          </w:tcPr>
          <w:p w:rsidR="00A46E21" w:rsidRPr="00B11B92" w:rsidRDefault="00A46E21" w:rsidP="00B11B92">
            <w:pPr>
              <w:spacing w:before="0" w:after="0"/>
              <w:rPr>
                <w:rFonts w:ascii="Arial Black" w:hAnsi="Arial Black"/>
                <w:b/>
                <w:bCs/>
                <w:color w:val="000000"/>
                <w:szCs w:val="22"/>
                <w:lang w:val="en-US" w:eastAsia="en-US"/>
              </w:rPr>
            </w:pPr>
            <w:r w:rsidRPr="00B11B92">
              <w:rPr>
                <w:rFonts w:ascii="Arial Black" w:hAnsi="Arial Black"/>
                <w:b/>
                <w:bCs/>
                <w:color w:val="000000"/>
                <w:szCs w:val="22"/>
                <w:lang w:eastAsia="en-US"/>
              </w:rPr>
              <w:t>PPP</w:t>
            </w:r>
          </w:p>
        </w:tc>
        <w:tc>
          <w:tcPr>
            <w:tcW w:w="7200" w:type="dxa"/>
            <w:shd w:val="pct20" w:color="000000" w:fill="FFFFFF"/>
            <w:hideMark/>
          </w:tcPr>
          <w:p w:rsidR="00A46E21" w:rsidRPr="00B11B92" w:rsidRDefault="00A46E21" w:rsidP="00B11B92">
            <w:pPr>
              <w:spacing w:before="0" w:after="0"/>
              <w:rPr>
                <w:rFonts w:ascii="Lucida Bright" w:hAnsi="Lucida Bright"/>
                <w:color w:val="000000"/>
                <w:szCs w:val="22"/>
                <w:lang w:val="en-US" w:eastAsia="en-US"/>
              </w:rPr>
            </w:pPr>
            <w:r w:rsidRPr="00B11B92">
              <w:rPr>
                <w:rFonts w:ascii="Lucida Bright" w:hAnsi="Lucida Bright"/>
                <w:color w:val="000000"/>
                <w:szCs w:val="22"/>
                <w:lang w:eastAsia="en-US"/>
              </w:rPr>
              <w:t>Public Private Partnership</w:t>
            </w:r>
          </w:p>
        </w:tc>
      </w:tr>
      <w:tr w:rsidR="00BE021D" w:rsidRPr="00B11B92" w:rsidTr="00B11B92">
        <w:trPr>
          <w:trHeight w:val="432"/>
        </w:trPr>
        <w:tc>
          <w:tcPr>
            <w:tcW w:w="1548" w:type="dxa"/>
            <w:shd w:val="pct5" w:color="000000" w:fill="FFFFFF"/>
          </w:tcPr>
          <w:p w:rsidR="00BE021D" w:rsidRPr="00B11B92" w:rsidRDefault="00BE021D" w:rsidP="00B11B92">
            <w:pPr>
              <w:spacing w:before="0" w:after="0"/>
              <w:rPr>
                <w:rFonts w:ascii="Arial Black" w:hAnsi="Arial Black"/>
                <w:b/>
                <w:bCs/>
                <w:color w:val="000000"/>
                <w:szCs w:val="22"/>
                <w:lang w:eastAsia="en-US"/>
              </w:rPr>
            </w:pPr>
            <w:r w:rsidRPr="00B11B92">
              <w:rPr>
                <w:rFonts w:ascii="Arial Black" w:hAnsi="Arial Black"/>
                <w:b/>
                <w:bCs/>
                <w:color w:val="000000"/>
                <w:szCs w:val="22"/>
                <w:lang w:eastAsia="en-US"/>
              </w:rPr>
              <w:t>AF</w:t>
            </w:r>
          </w:p>
        </w:tc>
        <w:tc>
          <w:tcPr>
            <w:tcW w:w="7200" w:type="dxa"/>
            <w:shd w:val="pct5" w:color="000000" w:fill="FFFFFF"/>
          </w:tcPr>
          <w:p w:rsidR="00BE021D" w:rsidRPr="00B11B92" w:rsidRDefault="0032110C" w:rsidP="00B11B92">
            <w:pPr>
              <w:spacing w:before="0" w:after="0"/>
              <w:rPr>
                <w:rFonts w:ascii="Lucida Bright" w:hAnsi="Lucida Bright"/>
                <w:color w:val="000000"/>
                <w:szCs w:val="22"/>
                <w:lang w:eastAsia="en-US"/>
              </w:rPr>
            </w:pPr>
            <w:r w:rsidRPr="00B11B92">
              <w:rPr>
                <w:rFonts w:ascii="Lucida Bright" w:hAnsi="Lucida Bright"/>
                <w:color w:val="000000"/>
                <w:szCs w:val="22"/>
                <w:lang w:eastAsia="en-US"/>
              </w:rPr>
              <w:t>Alternative Funding (Fi</w:t>
            </w:r>
            <w:r w:rsidR="00BE021D" w:rsidRPr="00B11B92">
              <w:rPr>
                <w:rFonts w:ascii="Lucida Bright" w:hAnsi="Lucida Bright"/>
                <w:color w:val="000000"/>
                <w:szCs w:val="22"/>
                <w:lang w:eastAsia="en-US"/>
              </w:rPr>
              <w:t>nancing)</w:t>
            </w:r>
          </w:p>
        </w:tc>
      </w:tr>
      <w:tr w:rsidR="00BE021D" w:rsidRPr="00B11B92" w:rsidTr="00B11B92">
        <w:trPr>
          <w:trHeight w:val="432"/>
        </w:trPr>
        <w:tc>
          <w:tcPr>
            <w:tcW w:w="1548" w:type="dxa"/>
            <w:shd w:val="pct20" w:color="000000" w:fill="FFFFFF"/>
          </w:tcPr>
          <w:p w:rsidR="00BE021D" w:rsidRPr="00B11B92" w:rsidRDefault="00BE021D" w:rsidP="00B11B92">
            <w:pPr>
              <w:spacing w:before="0" w:after="0"/>
              <w:rPr>
                <w:rFonts w:ascii="Arial Black" w:hAnsi="Arial Black"/>
                <w:b/>
                <w:bCs/>
                <w:color w:val="000000"/>
                <w:szCs w:val="22"/>
                <w:lang w:eastAsia="en-US"/>
              </w:rPr>
            </w:pPr>
            <w:r w:rsidRPr="00B11B92">
              <w:rPr>
                <w:rFonts w:ascii="Arial Black" w:hAnsi="Arial Black"/>
                <w:b/>
                <w:bCs/>
                <w:color w:val="000000"/>
                <w:szCs w:val="22"/>
                <w:lang w:eastAsia="en-US"/>
              </w:rPr>
              <w:lastRenderedPageBreak/>
              <w:t>JVs</w:t>
            </w:r>
          </w:p>
        </w:tc>
        <w:tc>
          <w:tcPr>
            <w:tcW w:w="7200" w:type="dxa"/>
            <w:shd w:val="pct20" w:color="000000" w:fill="FFFFFF"/>
          </w:tcPr>
          <w:p w:rsidR="00BE021D" w:rsidRPr="00B11B92" w:rsidRDefault="00BE021D" w:rsidP="00B11B92">
            <w:pPr>
              <w:spacing w:before="0" w:after="0"/>
              <w:rPr>
                <w:rFonts w:ascii="Lucida Bright" w:hAnsi="Lucida Bright"/>
                <w:color w:val="000000"/>
                <w:szCs w:val="22"/>
                <w:lang w:eastAsia="en-US"/>
              </w:rPr>
            </w:pPr>
            <w:r w:rsidRPr="00B11B92">
              <w:rPr>
                <w:rFonts w:ascii="Lucida Bright" w:hAnsi="Lucida Bright"/>
                <w:color w:val="000000"/>
                <w:szCs w:val="22"/>
                <w:lang w:eastAsia="en-US"/>
              </w:rPr>
              <w:t>Joint Ventures</w:t>
            </w:r>
          </w:p>
        </w:tc>
      </w:tr>
      <w:tr w:rsidR="00BE021D" w:rsidRPr="00B11B92" w:rsidTr="00B11B92">
        <w:trPr>
          <w:trHeight w:val="432"/>
        </w:trPr>
        <w:tc>
          <w:tcPr>
            <w:tcW w:w="1548" w:type="dxa"/>
            <w:shd w:val="pct5" w:color="000000" w:fill="FFFFFF"/>
          </w:tcPr>
          <w:p w:rsidR="00BE021D" w:rsidRPr="00B11B92" w:rsidRDefault="00BE021D" w:rsidP="00B11B92">
            <w:pPr>
              <w:spacing w:before="0" w:after="0"/>
              <w:rPr>
                <w:rFonts w:ascii="Arial Black" w:hAnsi="Arial Black"/>
                <w:b/>
                <w:bCs/>
                <w:color w:val="000000"/>
                <w:szCs w:val="22"/>
                <w:lang w:eastAsia="en-US"/>
              </w:rPr>
            </w:pPr>
            <w:r w:rsidRPr="00B11B92">
              <w:rPr>
                <w:rFonts w:ascii="Arial Black" w:hAnsi="Arial Black"/>
                <w:b/>
                <w:bCs/>
                <w:color w:val="000000"/>
                <w:szCs w:val="22"/>
                <w:lang w:eastAsia="en-US"/>
              </w:rPr>
              <w:t>NPDC</w:t>
            </w:r>
          </w:p>
        </w:tc>
        <w:tc>
          <w:tcPr>
            <w:tcW w:w="7200" w:type="dxa"/>
            <w:shd w:val="pct5" w:color="000000" w:fill="FFFFFF"/>
          </w:tcPr>
          <w:p w:rsidR="00BE021D" w:rsidRPr="00B11B92" w:rsidRDefault="00BE021D" w:rsidP="00B11B92">
            <w:pPr>
              <w:spacing w:before="0" w:after="0"/>
              <w:rPr>
                <w:rFonts w:ascii="Lucida Bright" w:hAnsi="Lucida Bright"/>
                <w:color w:val="000000"/>
                <w:szCs w:val="22"/>
                <w:lang w:eastAsia="en-US"/>
              </w:rPr>
            </w:pPr>
            <w:r w:rsidRPr="00B11B92">
              <w:rPr>
                <w:rFonts w:ascii="Lucida Bright" w:hAnsi="Lucida Bright"/>
                <w:color w:val="000000"/>
                <w:szCs w:val="22"/>
                <w:lang w:eastAsia="en-US"/>
              </w:rPr>
              <w:t>Nigerian Petroleum Development Company</w:t>
            </w:r>
          </w:p>
        </w:tc>
      </w:tr>
      <w:tr w:rsidR="00BE021D" w:rsidRPr="00B11B92" w:rsidTr="00B11B92">
        <w:trPr>
          <w:trHeight w:val="432"/>
        </w:trPr>
        <w:tc>
          <w:tcPr>
            <w:tcW w:w="1548" w:type="dxa"/>
            <w:shd w:val="pct20" w:color="000000" w:fill="FFFFFF"/>
          </w:tcPr>
          <w:p w:rsidR="00BE021D" w:rsidRPr="00B11B92" w:rsidRDefault="00BE021D" w:rsidP="00B11B92">
            <w:pPr>
              <w:spacing w:before="0" w:after="0"/>
              <w:rPr>
                <w:rFonts w:ascii="Arial Black" w:hAnsi="Arial Black"/>
                <w:b/>
                <w:bCs/>
                <w:color w:val="000000"/>
                <w:szCs w:val="22"/>
                <w:lang w:eastAsia="en-US"/>
              </w:rPr>
            </w:pPr>
            <w:r w:rsidRPr="00B11B92">
              <w:rPr>
                <w:rFonts w:ascii="Arial Black" w:hAnsi="Arial Black"/>
                <w:b/>
                <w:bCs/>
                <w:color w:val="000000"/>
                <w:szCs w:val="22"/>
                <w:lang w:eastAsia="en-US"/>
              </w:rPr>
              <w:t>PSC</w:t>
            </w:r>
          </w:p>
        </w:tc>
        <w:tc>
          <w:tcPr>
            <w:tcW w:w="7200" w:type="dxa"/>
            <w:shd w:val="pct20" w:color="000000" w:fill="FFFFFF"/>
          </w:tcPr>
          <w:p w:rsidR="00BE021D" w:rsidRPr="00B11B92" w:rsidRDefault="00BE021D" w:rsidP="00B11B92">
            <w:pPr>
              <w:spacing w:before="0" w:after="0"/>
              <w:rPr>
                <w:rFonts w:ascii="Lucida Bright" w:hAnsi="Lucida Bright"/>
                <w:color w:val="000000"/>
                <w:szCs w:val="22"/>
                <w:lang w:eastAsia="en-US"/>
              </w:rPr>
            </w:pPr>
            <w:r w:rsidRPr="00B11B92">
              <w:rPr>
                <w:rFonts w:ascii="Lucida Bright" w:hAnsi="Lucida Bright"/>
                <w:color w:val="000000"/>
                <w:szCs w:val="22"/>
                <w:lang w:eastAsia="en-US"/>
              </w:rPr>
              <w:t>Production Sharing Contract</w:t>
            </w:r>
          </w:p>
        </w:tc>
      </w:tr>
      <w:tr w:rsidR="0032110C" w:rsidRPr="00B11B92" w:rsidTr="00B11B92">
        <w:trPr>
          <w:trHeight w:val="432"/>
        </w:trPr>
        <w:tc>
          <w:tcPr>
            <w:tcW w:w="1548" w:type="dxa"/>
            <w:shd w:val="pct5" w:color="000000" w:fill="FFFFFF"/>
          </w:tcPr>
          <w:p w:rsidR="0032110C" w:rsidRPr="00B11B92" w:rsidRDefault="00696B49" w:rsidP="00B11B92">
            <w:pPr>
              <w:spacing w:before="0" w:after="0"/>
              <w:rPr>
                <w:rFonts w:ascii="Arial Black" w:hAnsi="Arial Black"/>
                <w:b/>
                <w:bCs/>
                <w:color w:val="000000"/>
                <w:szCs w:val="22"/>
                <w:lang w:eastAsia="en-US"/>
              </w:rPr>
            </w:pPr>
            <w:r w:rsidRPr="00B11B92">
              <w:rPr>
                <w:rFonts w:ascii="Arial Black" w:hAnsi="Arial Black"/>
                <w:b/>
                <w:bCs/>
                <w:color w:val="000000"/>
                <w:szCs w:val="22"/>
                <w:lang w:eastAsia="en-US"/>
              </w:rPr>
              <w:t>WTI</w:t>
            </w:r>
          </w:p>
        </w:tc>
        <w:tc>
          <w:tcPr>
            <w:tcW w:w="7200" w:type="dxa"/>
            <w:shd w:val="pct5" w:color="000000" w:fill="FFFFFF"/>
          </w:tcPr>
          <w:p w:rsidR="0032110C" w:rsidRPr="00B11B92" w:rsidRDefault="00696B49" w:rsidP="00B11B92">
            <w:pPr>
              <w:spacing w:before="0" w:after="0"/>
              <w:rPr>
                <w:rFonts w:ascii="Lucida Bright" w:hAnsi="Lucida Bright"/>
                <w:color w:val="000000"/>
                <w:szCs w:val="22"/>
                <w:lang w:eastAsia="en-US"/>
              </w:rPr>
            </w:pPr>
            <w:r w:rsidRPr="00B11B92">
              <w:rPr>
                <w:rFonts w:ascii="Lucida Bright" w:hAnsi="Lucida Bright"/>
                <w:color w:val="000000"/>
                <w:szCs w:val="22"/>
                <w:lang w:eastAsia="en-US"/>
              </w:rPr>
              <w:t>West Texas Intermediate</w:t>
            </w:r>
          </w:p>
        </w:tc>
      </w:tr>
      <w:tr w:rsidR="00696B49" w:rsidRPr="00B11B92" w:rsidTr="00B11B92">
        <w:trPr>
          <w:trHeight w:val="432"/>
        </w:trPr>
        <w:tc>
          <w:tcPr>
            <w:tcW w:w="1548" w:type="dxa"/>
            <w:shd w:val="pct20" w:color="000000" w:fill="FFFFFF"/>
          </w:tcPr>
          <w:p w:rsidR="00696B49" w:rsidRPr="00B11B92" w:rsidRDefault="00696B49" w:rsidP="00B11B92">
            <w:pPr>
              <w:spacing w:before="0" w:after="0"/>
              <w:rPr>
                <w:rFonts w:ascii="Arial Black" w:hAnsi="Arial Black"/>
                <w:b/>
                <w:bCs/>
                <w:color w:val="000000"/>
                <w:szCs w:val="22"/>
                <w:lang w:eastAsia="en-US"/>
              </w:rPr>
            </w:pPr>
            <w:r w:rsidRPr="00B11B92">
              <w:rPr>
                <w:rFonts w:ascii="Arial Black" w:hAnsi="Arial Black"/>
                <w:b/>
                <w:bCs/>
                <w:color w:val="000000"/>
                <w:szCs w:val="22"/>
                <w:lang w:eastAsia="en-US"/>
              </w:rPr>
              <w:t>OECD</w:t>
            </w:r>
          </w:p>
        </w:tc>
        <w:tc>
          <w:tcPr>
            <w:tcW w:w="7200" w:type="dxa"/>
            <w:shd w:val="pct20" w:color="000000" w:fill="FFFFFF"/>
          </w:tcPr>
          <w:p w:rsidR="00696B49" w:rsidRPr="00B11B92" w:rsidRDefault="00696B49" w:rsidP="00B11B92">
            <w:pPr>
              <w:spacing w:before="0" w:after="0"/>
              <w:rPr>
                <w:rFonts w:ascii="Lucida Bright" w:hAnsi="Lucida Bright"/>
                <w:color w:val="000000"/>
                <w:szCs w:val="22"/>
                <w:lang w:eastAsia="en-US"/>
              </w:rPr>
            </w:pPr>
            <w:r w:rsidRPr="00B11B92">
              <w:rPr>
                <w:rFonts w:ascii="Lucida Bright" w:hAnsi="Lucida Bright"/>
                <w:color w:val="000000"/>
                <w:szCs w:val="22"/>
                <w:lang w:eastAsia="en-US"/>
              </w:rPr>
              <w:t>Organisation for Economic Co-operation and Development</w:t>
            </w:r>
          </w:p>
        </w:tc>
      </w:tr>
    </w:tbl>
    <w:p w:rsidR="00A76322" w:rsidRDefault="00A76322" w:rsidP="00A76322"/>
    <w:p w:rsidR="00A76322" w:rsidRDefault="00A76322" w:rsidP="00A76322">
      <w:pPr>
        <w:pStyle w:val="Leader"/>
        <w:sectPr w:rsidR="00A76322" w:rsidSect="00A76322">
          <w:headerReference w:type="even" r:id="rId15"/>
          <w:headerReference w:type="default" r:id="rId16"/>
          <w:footerReference w:type="default" r:id="rId17"/>
          <w:headerReference w:type="first" r:id="rId18"/>
          <w:pgSz w:w="11906" w:h="16838"/>
          <w:pgMar w:top="1440" w:right="1800" w:bottom="1440" w:left="1800" w:header="708" w:footer="708" w:gutter="0"/>
          <w:pgNumType w:fmt="lowerRoman"/>
          <w:cols w:space="708"/>
          <w:docGrid w:linePitch="360"/>
        </w:sectPr>
      </w:pPr>
    </w:p>
    <w:p w:rsidR="00A76322" w:rsidRDefault="00A76322" w:rsidP="00A76322">
      <w:pPr>
        <w:pStyle w:val="Heading1"/>
      </w:pPr>
      <w:bookmarkStart w:id="1" w:name="_Toc340045242"/>
      <w:bookmarkStart w:id="2" w:name="_Toc340053628"/>
      <w:bookmarkStart w:id="3" w:name="_Toc454798302"/>
      <w:bookmarkStart w:id="4" w:name="_Toc79826999"/>
      <w:r>
        <w:lastRenderedPageBreak/>
        <w:t>Introduction and Background</w:t>
      </w:r>
      <w:bookmarkEnd w:id="1"/>
      <w:bookmarkEnd w:id="2"/>
      <w:bookmarkEnd w:id="3"/>
      <w:bookmarkEnd w:id="4"/>
    </w:p>
    <w:p w:rsidR="00A76322" w:rsidRPr="00652995" w:rsidRDefault="00A76322" w:rsidP="00A76322">
      <w:pPr>
        <w:pStyle w:val="Heading2"/>
      </w:pPr>
      <w:bookmarkStart w:id="5" w:name="_Toc340045243"/>
      <w:bookmarkStart w:id="6" w:name="_Toc340053629"/>
      <w:bookmarkStart w:id="7" w:name="_Toc454798303"/>
      <w:bookmarkStart w:id="8" w:name="_Toc79827000"/>
      <w:r w:rsidRPr="00652995">
        <w:t>Introduction</w:t>
      </w:r>
      <w:bookmarkEnd w:id="5"/>
      <w:bookmarkEnd w:id="6"/>
      <w:bookmarkEnd w:id="7"/>
      <w:bookmarkEnd w:id="8"/>
    </w:p>
    <w:p w:rsidR="00330C7E" w:rsidRPr="000100B0" w:rsidRDefault="00330C7E" w:rsidP="00330C7E">
      <w:pPr>
        <w:pStyle w:val="NumberedPara"/>
        <w:tabs>
          <w:tab w:val="clear" w:pos="1287"/>
          <w:tab w:val="num" w:pos="540"/>
        </w:tabs>
        <w:ind w:left="540" w:hanging="540"/>
      </w:pPr>
      <w:r w:rsidRPr="000100B0">
        <w:t xml:space="preserve">The Medium-Term Expenditure Framework (MTEF) provides Government with a tool to manage the pressure between competing policy priorities and budget realities. This helps to reprioritize expenditure </w:t>
      </w:r>
      <w:r>
        <w:t>and make</w:t>
      </w:r>
      <w:r w:rsidRPr="000100B0">
        <w:t xml:space="preserve"> policy choices that are affordable in the medium term.</w:t>
      </w:r>
      <w:r>
        <w:t xml:space="preserve"> Thi</w:t>
      </w:r>
      <w:r w:rsidR="00E84E56">
        <w:t>s document covers period of 2022 - 2024</w:t>
      </w:r>
    </w:p>
    <w:p w:rsidR="00330C7E" w:rsidRDefault="00330C7E" w:rsidP="00330C7E">
      <w:pPr>
        <w:pStyle w:val="NumberedPara"/>
        <w:tabs>
          <w:tab w:val="clear" w:pos="1287"/>
          <w:tab w:val="num" w:pos="540"/>
        </w:tabs>
        <w:ind w:left="540" w:hanging="540"/>
      </w:pPr>
      <w:r w:rsidRPr="000100B0">
        <w:t xml:space="preserve">Government aims to improve </w:t>
      </w:r>
      <w:r>
        <w:t xml:space="preserve">information on </w:t>
      </w:r>
      <w:r w:rsidRPr="000100B0">
        <w:t>servi</w:t>
      </w:r>
      <w:r>
        <w:t>ce delivery. These</w:t>
      </w:r>
      <w:r w:rsidRPr="000100B0">
        <w:t xml:space="preserve"> information are</w:t>
      </w:r>
      <w:r>
        <w:t xml:space="preserve"> better</w:t>
      </w:r>
      <w:r w:rsidRPr="000100B0">
        <w:t xml:space="preserve"> contained in budget document which enables the public to understand what government does, what programmes and activities are funded, and what outputs the budget is meant to achieve.</w:t>
      </w:r>
    </w:p>
    <w:p w:rsidR="00330C7E" w:rsidRDefault="00330C7E" w:rsidP="00330C7E">
      <w:pPr>
        <w:pStyle w:val="NumberedPara"/>
        <w:tabs>
          <w:tab w:val="clear" w:pos="1287"/>
          <w:tab w:val="num" w:pos="540"/>
        </w:tabs>
        <w:ind w:left="540" w:hanging="540"/>
      </w:pPr>
      <w:r>
        <w:t xml:space="preserve">The Economic and Fiscal Update (EFU) of this Multi Year Budget Framework (MYBF) document </w:t>
      </w:r>
      <w:r w:rsidRPr="00E53EE8">
        <w:t>provide</w:t>
      </w:r>
      <w:r>
        <w:t>s</w:t>
      </w:r>
      <w:r w:rsidRPr="00E53EE8">
        <w:t xml:space="preserve"> a detailed statement of the Government's financial position including updated economic and fiscal forecasts, analysis of the fiscal position and a summary of specific fiscal risks</w:t>
      </w:r>
      <w:r>
        <w:t xml:space="preserve"> which form the basis for budget planning process in Kogi State. The EFU also provides an assessment of budget performance (both historical and current) and identifies significant factors affecting implementations.  </w:t>
      </w:r>
    </w:p>
    <w:p w:rsidR="00330C7E" w:rsidRDefault="00330C7E" w:rsidP="00330C7E">
      <w:pPr>
        <w:pStyle w:val="NumberedPara"/>
        <w:tabs>
          <w:tab w:val="clear" w:pos="1287"/>
          <w:tab w:val="num" w:pos="540"/>
        </w:tabs>
        <w:ind w:left="540" w:hanging="540"/>
      </w:pPr>
      <w:r>
        <w:t xml:space="preserve">The Fiscal Strategy Paper (FSP) is the </w:t>
      </w:r>
      <w:r w:rsidRPr="00305C78">
        <w:t xml:space="preserve">guide to the </w:t>
      </w:r>
      <w:r>
        <w:t>state</w:t>
      </w:r>
      <w:r w:rsidRPr="00305C78">
        <w:t xml:space="preserve"> budget process</w:t>
      </w:r>
      <w:r>
        <w:t>. It consists of a macroeconomic framework that indicates fiscal targets and estimates revenues and expenditure, including government financial obligations in the medium term. The document also set out the underlying assumptions for these projections, provide</w:t>
      </w:r>
      <w:r w:rsidRPr="00C8060B">
        <w:t>s</w:t>
      </w:r>
      <w:r>
        <w:t xml:space="preserve"> an evaluation and analysis of the previous budget, and present an overview of consolidated debt and potential fiscal risks.</w:t>
      </w:r>
    </w:p>
    <w:p w:rsidR="001C0877" w:rsidRDefault="00330C7E" w:rsidP="00D355BF">
      <w:pPr>
        <w:pStyle w:val="NumberedPara"/>
        <w:tabs>
          <w:tab w:val="clear" w:pos="1287"/>
          <w:tab w:val="num" w:pos="540"/>
        </w:tabs>
        <w:ind w:left="540" w:hanging="540"/>
      </w:pPr>
      <w:r>
        <w:t xml:space="preserve">The important outcomes of the FSP include the macroeconomic outlook; fiscal balance; and other key indicators. </w:t>
      </w:r>
      <w:r w:rsidRPr="00A84F08">
        <w:rPr>
          <w:b/>
        </w:rPr>
        <w:t xml:space="preserve">They fulfil a requirement of Section 11 of the Fiscal Responsibility Act (SFRA) 2012, which stipulates that the Commissioner for Budget and Planning </w:t>
      </w:r>
      <w:r w:rsidRPr="00E445EC">
        <w:rPr>
          <w:b/>
        </w:rPr>
        <w:t>(now Commissioner of Finance, Budget and Economic Planning)</w:t>
      </w:r>
      <w:r>
        <w:rPr>
          <w:b/>
        </w:rPr>
        <w:t xml:space="preserve"> </w:t>
      </w:r>
      <w:r w:rsidRPr="00A84F08">
        <w:rPr>
          <w:b/>
        </w:rPr>
        <w:t>shall prepare the MTEF and FSP and get them approved by</w:t>
      </w:r>
      <w:r>
        <w:rPr>
          <w:b/>
        </w:rPr>
        <w:t xml:space="preserve"> the State Executive Council (EXCO</w:t>
      </w:r>
      <w:r w:rsidRPr="00A84F08">
        <w:rPr>
          <w:b/>
        </w:rPr>
        <w:t>) and State House of Assembly (SHoA).</w:t>
      </w:r>
    </w:p>
    <w:p w:rsidR="00A76322" w:rsidRDefault="00A76322" w:rsidP="00A76322">
      <w:pPr>
        <w:pStyle w:val="Heading3"/>
      </w:pPr>
      <w:bookmarkStart w:id="9" w:name="_Toc79827001"/>
      <w:bookmarkStart w:id="10" w:name="_Toc340053630"/>
      <w:r>
        <w:t>Budget Process</w:t>
      </w:r>
      <w:bookmarkEnd w:id="9"/>
    </w:p>
    <w:p w:rsidR="00A76322" w:rsidRDefault="00A76322" w:rsidP="008A7DB3">
      <w:pPr>
        <w:pStyle w:val="NumberedPara"/>
        <w:tabs>
          <w:tab w:val="clear" w:pos="1287"/>
          <w:tab w:val="num" w:pos="540"/>
        </w:tabs>
        <w:ind w:left="540" w:hanging="540"/>
      </w:pPr>
      <w:r w:rsidRPr="00F72A6D">
        <w:t xml:space="preserve">The budget process describes the budget cycle in a fiscal year. Its conception is informed by the </w:t>
      </w:r>
      <w:r>
        <w:t>Medium Term Expenditure Framework (</w:t>
      </w:r>
      <w:r w:rsidRPr="00F72A6D">
        <w:t>MTEF</w:t>
      </w:r>
      <w:r>
        <w:t>)</w:t>
      </w:r>
      <w:r w:rsidRPr="00F72A6D">
        <w:t xml:space="preserve"> process which has three components namely:</w:t>
      </w:r>
    </w:p>
    <w:p w:rsidR="00A76322" w:rsidRDefault="00A76322" w:rsidP="00A76322">
      <w:pPr>
        <w:pStyle w:val="NumberedBullet"/>
      </w:pPr>
      <w:r>
        <w:t>Medium Term Fiscal Framework (MTFS)</w:t>
      </w:r>
    </w:p>
    <w:p w:rsidR="00A76322" w:rsidRDefault="00A76322" w:rsidP="00A76322">
      <w:pPr>
        <w:pStyle w:val="NumberedBullet"/>
      </w:pPr>
      <w:r>
        <w:t>Medium Term Budget Framework (MTBF)</w:t>
      </w:r>
    </w:p>
    <w:p w:rsidR="00A76322" w:rsidRDefault="00A76322" w:rsidP="00A76322">
      <w:pPr>
        <w:pStyle w:val="NumberedBullet"/>
      </w:pPr>
      <w:r>
        <w:t>Medium Term Sector Strategies (MTSS)</w:t>
      </w:r>
    </w:p>
    <w:p w:rsidR="00A76322" w:rsidRDefault="00A76322" w:rsidP="008A7DB3">
      <w:pPr>
        <w:pStyle w:val="NumberedPara"/>
        <w:tabs>
          <w:tab w:val="clear" w:pos="1287"/>
          <w:tab w:val="num" w:pos="540"/>
        </w:tabs>
        <w:ind w:left="540" w:hanging="540"/>
      </w:pPr>
      <w:r w:rsidRPr="00F72A6D">
        <w:t xml:space="preserve">It commences with the conception through preparation, execution, control, monitoring and evaluation and goes back again to conception for the </w:t>
      </w:r>
      <w:r w:rsidR="007F3C2E">
        <w:t>follow</w:t>
      </w:r>
      <w:r w:rsidRPr="00F72A6D">
        <w:t>ing year’s budget.</w:t>
      </w:r>
    </w:p>
    <w:p w:rsidR="00A76322" w:rsidRDefault="00A76322" w:rsidP="008A7DB3">
      <w:pPr>
        <w:pStyle w:val="NumberedPara"/>
        <w:tabs>
          <w:tab w:val="clear" w:pos="1287"/>
          <w:tab w:val="num" w:pos="540"/>
        </w:tabs>
        <w:ind w:left="540" w:hanging="540"/>
      </w:pPr>
      <w:r>
        <w:t xml:space="preserve">The MTEF process is summarised in </w:t>
      </w:r>
      <w:r w:rsidR="00B4586B">
        <w:t xml:space="preserve">the </w:t>
      </w:r>
      <w:r>
        <w:t>diagram below:</w:t>
      </w:r>
    </w:p>
    <w:p w:rsidR="00A76322" w:rsidRPr="00267416" w:rsidRDefault="00A76322" w:rsidP="00A76322">
      <w:pPr>
        <w:pStyle w:val="Caption"/>
        <w:rPr>
          <w:rFonts w:ascii="Arial Black" w:hAnsi="Arial Black"/>
        </w:rPr>
      </w:pPr>
      <w:bookmarkStart w:id="11" w:name="_Toc79828551"/>
      <w:r w:rsidRPr="00267416">
        <w:rPr>
          <w:rFonts w:ascii="Arial Black" w:hAnsi="Arial Black"/>
        </w:rPr>
        <w:lastRenderedPageBreak/>
        <w:t xml:space="preserve">Figure </w:t>
      </w:r>
      <w:r w:rsidR="00DF033A" w:rsidRPr="00267416">
        <w:rPr>
          <w:rFonts w:ascii="Arial Black" w:hAnsi="Arial Black"/>
        </w:rPr>
        <w:fldChar w:fldCharType="begin"/>
      </w:r>
      <w:r w:rsidRPr="00267416">
        <w:rPr>
          <w:rFonts w:ascii="Arial Black" w:hAnsi="Arial Black"/>
        </w:rPr>
        <w:instrText xml:space="preserve"> SEQ Figure \* ARABIC </w:instrText>
      </w:r>
      <w:r w:rsidR="00DF033A" w:rsidRPr="00267416">
        <w:rPr>
          <w:rFonts w:ascii="Arial Black" w:hAnsi="Arial Black"/>
        </w:rPr>
        <w:fldChar w:fldCharType="separate"/>
      </w:r>
      <w:r w:rsidR="007A24D6" w:rsidRPr="00267416">
        <w:rPr>
          <w:rFonts w:ascii="Arial Black" w:hAnsi="Arial Black"/>
          <w:noProof/>
        </w:rPr>
        <w:t>1</w:t>
      </w:r>
      <w:r w:rsidR="00DF033A" w:rsidRPr="00267416">
        <w:rPr>
          <w:rFonts w:ascii="Arial Black" w:hAnsi="Arial Black"/>
        </w:rPr>
        <w:fldChar w:fldCharType="end"/>
      </w:r>
      <w:r w:rsidRPr="00267416">
        <w:rPr>
          <w:rFonts w:ascii="Arial Black" w:hAnsi="Arial Black"/>
        </w:rPr>
        <w:t>: MTEF Process</w:t>
      </w:r>
      <w:bookmarkEnd w:id="11"/>
    </w:p>
    <w:p w:rsidR="00A76322" w:rsidRPr="00006031" w:rsidRDefault="00DA65BB" w:rsidP="00A76322">
      <w:r>
        <w:rPr>
          <w:noProof/>
          <w:lang w:val="en-US" w:eastAsia="en-US"/>
        </w:rPr>
        <w:drawing>
          <wp:inline distT="0" distB="0" distL="0" distR="0">
            <wp:extent cx="5832475" cy="3715385"/>
            <wp:effectExtent l="0" t="0" r="0" b="0"/>
            <wp:docPr id="2" name="Picture 1" descr="MTEF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TEF Proce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2475" cy="3715385"/>
                    </a:xfrm>
                    <a:prstGeom prst="rect">
                      <a:avLst/>
                    </a:prstGeom>
                    <a:noFill/>
                    <a:ln>
                      <a:noFill/>
                    </a:ln>
                  </pic:spPr>
                </pic:pic>
              </a:graphicData>
            </a:graphic>
          </wp:inline>
        </w:drawing>
      </w:r>
    </w:p>
    <w:p w:rsidR="00A76322" w:rsidRDefault="00A76322" w:rsidP="00A76322">
      <w:pPr>
        <w:pStyle w:val="Heading3"/>
      </w:pPr>
      <w:bookmarkStart w:id="12" w:name="_Toc79827002"/>
      <w:r>
        <w:t>Summary of Document Content</w:t>
      </w:r>
      <w:bookmarkEnd w:id="10"/>
      <w:bookmarkEnd w:id="12"/>
    </w:p>
    <w:p w:rsidR="00330C7E" w:rsidRPr="00EF18D7" w:rsidRDefault="00330C7E" w:rsidP="00330C7E">
      <w:pPr>
        <w:pStyle w:val="NumberedPara"/>
        <w:tabs>
          <w:tab w:val="clear" w:pos="1287"/>
          <w:tab w:val="num" w:pos="540"/>
        </w:tabs>
        <w:ind w:left="540" w:hanging="540"/>
      </w:pPr>
      <w:r w:rsidRPr="00330C7E">
        <w:rPr>
          <w:rFonts w:ascii="Arial Black" w:hAnsi="Arial Black"/>
          <w:u w:val="single"/>
        </w:rPr>
        <w:t xml:space="preserve">In accordance with international best </w:t>
      </w:r>
      <w:r w:rsidR="00274584">
        <w:rPr>
          <w:rFonts w:ascii="Arial Black" w:hAnsi="Arial Black"/>
          <w:u w:val="single"/>
        </w:rPr>
        <w:t>budgeting practices</w:t>
      </w:r>
      <w:r w:rsidRPr="00330C7E">
        <w:rPr>
          <w:rFonts w:ascii="Arial Black" w:hAnsi="Arial Black"/>
          <w:u w:val="single"/>
        </w:rPr>
        <w:t>, the production of a combined EFU, FS and BPS is the first step in the budget preparation cycle</w:t>
      </w:r>
      <w:r>
        <w:t xml:space="preserve"> for Kogi State Gove</w:t>
      </w:r>
      <w:r w:rsidR="00912050">
        <w:t>rnment (KSG) for the period 2022-2024</w:t>
      </w:r>
      <w:r>
        <w:t xml:space="preserve">. </w:t>
      </w:r>
    </w:p>
    <w:p w:rsidR="00330C7E" w:rsidRPr="00EF18D7" w:rsidRDefault="00330C7E" w:rsidP="00330C7E">
      <w:pPr>
        <w:pStyle w:val="NumberedPara"/>
        <w:tabs>
          <w:tab w:val="clear" w:pos="1287"/>
          <w:tab w:val="num" w:pos="540"/>
        </w:tabs>
        <w:ind w:left="540" w:hanging="540"/>
      </w:pPr>
      <w:r>
        <w:t>The purpose of this document is three-fold:</w:t>
      </w:r>
    </w:p>
    <w:p w:rsidR="00330C7E" w:rsidRPr="00EF18D7" w:rsidRDefault="00330C7E" w:rsidP="00B86721">
      <w:pPr>
        <w:pStyle w:val="NumberedBullet"/>
        <w:numPr>
          <w:ilvl w:val="0"/>
          <w:numId w:val="9"/>
        </w:numPr>
        <w:jc w:val="both"/>
      </w:pPr>
      <w:r>
        <w:t xml:space="preserve">To provide a historical summary of key economic and fiscal trends that will affect the public expenditure in the future - Economic and Fiscal Update; </w:t>
      </w:r>
    </w:p>
    <w:p w:rsidR="00330C7E" w:rsidRDefault="00330C7E" w:rsidP="00330C7E">
      <w:pPr>
        <w:pStyle w:val="NumberedBullet"/>
        <w:jc w:val="both"/>
      </w:pPr>
      <w:r>
        <w:t xml:space="preserve">To set out </w:t>
      </w:r>
      <w:r w:rsidRPr="00A735A4">
        <w:t>medium term fiscal obje</w:t>
      </w:r>
      <w:r>
        <w:t>ctives and targets, including</w:t>
      </w:r>
      <w:r w:rsidRPr="00A735A4">
        <w:t xml:space="preserve"> tax policy; revenue mobilisation; level of public expenditure; deficit financing and public debt</w:t>
      </w:r>
      <w:r>
        <w:t xml:space="preserve"> - Fiscal Strategy; and</w:t>
      </w:r>
    </w:p>
    <w:p w:rsidR="00330C7E" w:rsidRPr="00EF18D7" w:rsidRDefault="00330C7E" w:rsidP="00330C7E">
      <w:pPr>
        <w:pStyle w:val="NumberedBullet"/>
        <w:jc w:val="both"/>
      </w:pPr>
      <w:r>
        <w:t>Provide indicative sect</w:t>
      </w:r>
      <w:r w:rsidR="00912050">
        <w:t>or envelopes for the period 2022-2024</w:t>
      </w:r>
      <w:r>
        <w:t xml:space="preserve">. </w:t>
      </w:r>
    </w:p>
    <w:p w:rsidR="00330C7E" w:rsidRPr="00A735A4" w:rsidRDefault="00330C7E" w:rsidP="00330C7E">
      <w:pPr>
        <w:pStyle w:val="NumberedPara"/>
        <w:tabs>
          <w:tab w:val="clear" w:pos="1287"/>
          <w:tab w:val="num" w:pos="540"/>
        </w:tabs>
        <w:ind w:left="540" w:hanging="540"/>
      </w:pPr>
      <w:r>
        <w:t xml:space="preserve">The EFU is presented in Section 2 of this document.  The EFU </w:t>
      </w:r>
      <w:r w:rsidRPr="005756DF">
        <w:t>provides economic and fiscal analysis in order to inform the</w:t>
      </w:r>
      <w:r w:rsidR="00912050">
        <w:t xml:space="preserve"> budget planning process.  It aims</w:t>
      </w:r>
      <w:r w:rsidRPr="005756DF">
        <w:t xml:space="preserve"> p</w:t>
      </w:r>
      <w:r w:rsidR="00912050">
        <w:t>rimarily at budget policy</w:t>
      </w:r>
      <w:r w:rsidRPr="005756DF">
        <w:t xml:space="preserve"> and decision </w:t>
      </w:r>
      <w:r>
        <w:t>ma</w:t>
      </w:r>
      <w:r w:rsidRPr="005756DF">
        <w:t xml:space="preserve">kers in the </w:t>
      </w:r>
      <w:r>
        <w:t>Kogi</w:t>
      </w:r>
      <w:r w:rsidRPr="005756DF">
        <w:t xml:space="preserve"> State Government.  The EFU also provides an assessment of budget performance (both historical and current) and identifies significant factors affecting implementation.</w:t>
      </w:r>
      <w:r>
        <w:t xml:space="preserve"> It includes:</w:t>
      </w:r>
    </w:p>
    <w:p w:rsidR="00330C7E" w:rsidRPr="00A735A4" w:rsidRDefault="00330C7E" w:rsidP="00330C7E">
      <w:pPr>
        <w:pStyle w:val="Bullet"/>
        <w:jc w:val="both"/>
      </w:pPr>
      <w:r>
        <w:t>Overview of Global, National and State Economic Performance</w:t>
      </w:r>
    </w:p>
    <w:p w:rsidR="00330C7E" w:rsidRPr="00A735A4" w:rsidRDefault="00330C7E" w:rsidP="00330C7E">
      <w:pPr>
        <w:pStyle w:val="Bullet"/>
        <w:jc w:val="both"/>
      </w:pPr>
      <w:r>
        <w:t>Overview of the Petroleum Sector</w:t>
      </w:r>
    </w:p>
    <w:p w:rsidR="00330C7E" w:rsidRPr="00A735A4" w:rsidRDefault="00330C7E" w:rsidP="00330C7E">
      <w:pPr>
        <w:pStyle w:val="Bullet"/>
        <w:jc w:val="both"/>
      </w:pPr>
      <w:r>
        <w:t>Trends in budget performance over the last six years</w:t>
      </w:r>
    </w:p>
    <w:p w:rsidR="00A76322" w:rsidRPr="00A735A4" w:rsidRDefault="00330C7E" w:rsidP="00330C7E">
      <w:pPr>
        <w:pStyle w:val="NumberedPara"/>
        <w:tabs>
          <w:tab w:val="clear" w:pos="1287"/>
          <w:tab w:val="num" w:pos="540"/>
        </w:tabs>
        <w:ind w:left="540" w:hanging="540"/>
      </w:pPr>
      <w:r w:rsidRPr="00A735A4">
        <w:t xml:space="preserve">The FS is a key element in the </w:t>
      </w:r>
      <w:r>
        <w:t>KSG</w:t>
      </w:r>
      <w:r w:rsidRPr="00A735A4">
        <w:t xml:space="preserve"> Medium Term </w:t>
      </w:r>
      <w:r>
        <w:t>Expenditure Framework (MTE</w:t>
      </w:r>
      <w:r w:rsidRPr="00A735A4">
        <w:t xml:space="preserve">F) and annual budget process.  As such, it determines the resources available to fund </w:t>
      </w:r>
      <w:r w:rsidRPr="00A735A4">
        <w:lastRenderedPageBreak/>
        <w:t>the Government’s growth and poverty reduction programme from a fi</w:t>
      </w:r>
      <w:r>
        <w:t>scally sustainable perspective.</w:t>
      </w:r>
    </w:p>
    <w:p w:rsidR="00A76322" w:rsidRDefault="00A76322" w:rsidP="00A76322">
      <w:pPr>
        <w:pStyle w:val="Heading3"/>
      </w:pPr>
      <w:bookmarkStart w:id="13" w:name="_Toc340053631"/>
      <w:bookmarkStart w:id="14" w:name="_Toc79827003"/>
      <w:r>
        <w:t xml:space="preserve">Preparation and </w:t>
      </w:r>
      <w:r w:rsidRPr="005756DF">
        <w:t>Audience</w:t>
      </w:r>
      <w:bookmarkEnd w:id="13"/>
      <w:bookmarkEnd w:id="14"/>
    </w:p>
    <w:p w:rsidR="00330C7E" w:rsidRPr="005756DF" w:rsidRDefault="00330C7E" w:rsidP="00330C7E">
      <w:pPr>
        <w:pStyle w:val="NumberedPara"/>
        <w:tabs>
          <w:tab w:val="clear" w:pos="1287"/>
          <w:tab w:val="num" w:pos="540"/>
        </w:tabs>
        <w:ind w:left="540" w:hanging="540"/>
      </w:pPr>
      <w:r>
        <w:t>The purpose of this document is to provide an in</w:t>
      </w:r>
      <w:r w:rsidR="00912050">
        <w:t>formed framework for the 2022-2024 MTEF and 2022 annual</w:t>
      </w:r>
      <w:r>
        <w:t xml:space="preserve"> Budget preparation cycle for all of the key Stakeholders, specifically:</w:t>
      </w:r>
    </w:p>
    <w:p w:rsidR="00330C7E" w:rsidRPr="005756DF" w:rsidRDefault="00330C7E" w:rsidP="00330C7E">
      <w:pPr>
        <w:pStyle w:val="Bullet"/>
      </w:pPr>
      <w:r>
        <w:t xml:space="preserve">State House of Assembly (SHoA); </w:t>
      </w:r>
    </w:p>
    <w:p w:rsidR="00330C7E" w:rsidRPr="005756DF" w:rsidRDefault="00330C7E" w:rsidP="00330C7E">
      <w:pPr>
        <w:pStyle w:val="Bullet"/>
      </w:pPr>
      <w:r>
        <w:t xml:space="preserve">Executive Council (ExCo); </w:t>
      </w:r>
    </w:p>
    <w:p w:rsidR="00330C7E" w:rsidRPr="005756DF" w:rsidRDefault="00330C7E" w:rsidP="00330C7E">
      <w:pPr>
        <w:pStyle w:val="Bullet"/>
      </w:pPr>
      <w:r>
        <w:t>Ministry of Finance, Budget and Economic Planning (MFB&amp;EP);</w:t>
      </w:r>
    </w:p>
    <w:p w:rsidR="00330C7E" w:rsidRDefault="00912050" w:rsidP="00330C7E">
      <w:pPr>
        <w:pStyle w:val="Bullet"/>
      </w:pPr>
      <w:r>
        <w:t xml:space="preserve">All </w:t>
      </w:r>
      <w:r w:rsidR="00330C7E">
        <w:t>Government Ministries, Departments and Agencies (MDAs);</w:t>
      </w:r>
    </w:p>
    <w:p w:rsidR="00330C7E" w:rsidRPr="005756DF" w:rsidRDefault="00330C7E" w:rsidP="00330C7E">
      <w:pPr>
        <w:pStyle w:val="Bullet"/>
      </w:pPr>
      <w:r>
        <w:t>Organised private sector</w:t>
      </w:r>
      <w:r w:rsidRPr="001837A6">
        <w:t>s</w:t>
      </w:r>
      <w:r>
        <w:t>;</w:t>
      </w:r>
    </w:p>
    <w:p w:rsidR="00330C7E" w:rsidRDefault="00330C7E" w:rsidP="00330C7E">
      <w:pPr>
        <w:pStyle w:val="Bullet"/>
      </w:pPr>
      <w:r>
        <w:t>Civil Society Organisations (CSO</w:t>
      </w:r>
      <w:r w:rsidRPr="001837A6">
        <w:t>s</w:t>
      </w:r>
      <w:r>
        <w:t>)</w:t>
      </w:r>
    </w:p>
    <w:p w:rsidR="00330C7E" w:rsidRPr="005756DF" w:rsidRDefault="00330C7E" w:rsidP="00330C7E">
      <w:pPr>
        <w:pStyle w:val="Bullet"/>
      </w:pPr>
      <w:r>
        <w:t>Non-Government Organisation</w:t>
      </w:r>
      <w:r w:rsidRPr="001837A6">
        <w:t>s</w:t>
      </w:r>
      <w:r>
        <w:t xml:space="preserve"> (NGOs)</w:t>
      </w:r>
    </w:p>
    <w:p w:rsidR="00A76322" w:rsidRPr="005756DF" w:rsidRDefault="00330C7E" w:rsidP="00330C7E">
      <w:pPr>
        <w:pStyle w:val="NumberedPara"/>
        <w:tabs>
          <w:tab w:val="clear" w:pos="1287"/>
          <w:tab w:val="num" w:pos="540"/>
        </w:tabs>
        <w:ind w:left="540" w:hanging="540"/>
      </w:pPr>
      <w:r>
        <w:t>The document</w:t>
      </w:r>
      <w:r w:rsidR="00912050">
        <w:t xml:space="preserve"> is prepared in the month of June for</w:t>
      </w:r>
      <w:r>
        <w:t xml:space="preserve"> the year </w:t>
      </w:r>
      <w:r w:rsidR="00912050">
        <w:t>2022 Budget</w:t>
      </w:r>
      <w:r>
        <w:t>.  It is prepar</w:t>
      </w:r>
      <w:r w:rsidR="00912050">
        <w:t>ed by Kogi State Government MTEF</w:t>
      </w:r>
      <w:r>
        <w:t xml:space="preserve"> Technical Working Group (TWG) using data collected from International, National and State organisations such as International Monetary Fund (IMF), State Ministry of Finance, Budget and Economic Planning, Accountant General</w:t>
      </w:r>
      <w:r w:rsidRPr="001837A6">
        <w:t>’s</w:t>
      </w:r>
      <w:r>
        <w:t xml:space="preserve"> Office and Debt Management Office, Federal Ministry of Finance, Budget and National Planning and Kogi State Internal Revenue Service (KGIRS).</w:t>
      </w:r>
      <w:r w:rsidR="00A76322">
        <w:t xml:space="preserve"> </w:t>
      </w:r>
    </w:p>
    <w:p w:rsidR="00A76322" w:rsidRPr="005756DF" w:rsidRDefault="00A76322" w:rsidP="00A76322">
      <w:pPr>
        <w:pStyle w:val="Heading2"/>
      </w:pPr>
      <w:bookmarkStart w:id="15" w:name="_Toc340053632"/>
      <w:bookmarkStart w:id="16" w:name="_Toc454798304"/>
      <w:bookmarkStart w:id="17" w:name="_Toc79827004"/>
      <w:r>
        <w:t>Background</w:t>
      </w:r>
      <w:bookmarkEnd w:id="15"/>
      <w:bookmarkEnd w:id="16"/>
      <w:bookmarkEnd w:id="17"/>
    </w:p>
    <w:p w:rsidR="00DE7B46" w:rsidRPr="00DE7B46" w:rsidRDefault="00A76322" w:rsidP="00DE7B46">
      <w:pPr>
        <w:pStyle w:val="Heading3"/>
      </w:pPr>
      <w:bookmarkStart w:id="18" w:name="_Toc340045245"/>
      <w:bookmarkStart w:id="19" w:name="_Toc340053633"/>
      <w:bookmarkStart w:id="20" w:name="_Toc79827005"/>
      <w:bookmarkStart w:id="21" w:name="_Toc340045244"/>
      <w:r>
        <w:t>Legislative and Institutional arrangement for Public Financial Management (PFM</w:t>
      </w:r>
      <w:bookmarkEnd w:id="18"/>
      <w:bookmarkEnd w:id="19"/>
      <w:r>
        <w:t>)</w:t>
      </w:r>
      <w:r>
        <w:rPr>
          <w:rStyle w:val="FootnoteReference"/>
        </w:rPr>
        <w:footnoteReference w:id="1"/>
      </w:r>
      <w:bookmarkEnd w:id="20"/>
    </w:p>
    <w:p w:rsidR="00A76322" w:rsidRDefault="00DE7B46" w:rsidP="00E96662">
      <w:pPr>
        <w:pStyle w:val="Heading3"/>
        <w:numPr>
          <w:ilvl w:val="3"/>
          <w:numId w:val="1"/>
        </w:numPr>
      </w:pPr>
      <w:bookmarkStart w:id="22" w:name="_Toc79827006"/>
      <w:r>
        <w:rPr>
          <w:b w:val="0"/>
        </w:rPr>
        <w:t xml:space="preserve">1.B.1.1 </w:t>
      </w:r>
      <w:r w:rsidR="00A76322" w:rsidRPr="00E96662">
        <w:t>Legislative Framework for PFM in Kogi State</w:t>
      </w:r>
      <w:r>
        <w:t>–</w:t>
      </w:r>
      <w:bookmarkEnd w:id="22"/>
    </w:p>
    <w:p w:rsidR="00CF2199" w:rsidRDefault="00CF2199" w:rsidP="00CF2199">
      <w:pPr>
        <w:pStyle w:val="NumberedPara"/>
        <w:tabs>
          <w:tab w:val="clear" w:pos="1287"/>
          <w:tab w:val="num" w:pos="540"/>
        </w:tabs>
        <w:ind w:left="540" w:hanging="540"/>
      </w:pPr>
      <w:r w:rsidRPr="00130BE8">
        <w:t>Federal legislation</w:t>
      </w:r>
      <w:r>
        <w:t>s</w:t>
      </w:r>
      <w:r w:rsidRPr="00130BE8">
        <w:t xml:space="preserve"> and regulations provide the le</w:t>
      </w:r>
      <w:r>
        <w:t>gal framework for PFM</w:t>
      </w:r>
      <w:r w:rsidRPr="00130BE8">
        <w:t xml:space="preserve"> at the </w:t>
      </w:r>
      <w:r w:rsidR="001A63D6">
        <w:t>Federal and also state level</w:t>
      </w:r>
      <w:r w:rsidRPr="00130BE8">
        <w:t xml:space="preserve">.  The principal ones are the 1999 Constitution, the Finance (Control and Management) Act Cap 144 of the Laws of the Federation 1990, the Revenue Allocation Act of 1992 together with the Executive Order of March 2004, the Personal Income Tax Decree 104 of 1993 (amended in 2004), and Act 21 of 1998 which defines the tax powers of each of the three tiers of government.  These legislations and regulations cover several issues at the </w:t>
      </w:r>
      <w:r>
        <w:t>S</w:t>
      </w:r>
      <w:r w:rsidRPr="00130BE8">
        <w:t>tate level, in particular</w:t>
      </w:r>
      <w:r w:rsidR="00C6545B">
        <w:t>,</w:t>
      </w:r>
      <w:r w:rsidRPr="00130BE8">
        <w:t xml:space="preserve"> fiscal relations between tiers of government, revenue and expenditure management, </w:t>
      </w:r>
      <w:r>
        <w:t>S</w:t>
      </w:r>
      <w:r w:rsidRPr="00130BE8">
        <w:t>tate government accounts, external audit and legislative scrutiny.</w:t>
      </w:r>
    </w:p>
    <w:p w:rsidR="00B64A1E" w:rsidRPr="00330C7E" w:rsidRDefault="00CF2199" w:rsidP="00CF2199">
      <w:pPr>
        <w:pStyle w:val="NumberedPara"/>
        <w:tabs>
          <w:tab w:val="clear" w:pos="1287"/>
          <w:tab w:val="num" w:pos="540"/>
        </w:tabs>
        <w:ind w:left="540" w:hanging="540"/>
      </w:pPr>
      <w:r w:rsidRPr="00130BE8">
        <w:t xml:space="preserve">State governments cannot enact their own constitution, but they have other legislative and executive powers that complement but not supersede those at the federal level.   In Kogi State, however, </w:t>
      </w:r>
      <w:r w:rsidRPr="00130BE8">
        <w:rPr>
          <w:rFonts w:eastAsia="Arial Unicode MS"/>
        </w:rPr>
        <w:t xml:space="preserve">the state government does not have a legislation of its own; rather, it has been leaning on federal government legislation, which may not be appropriate.  The federal regulations that the state government has adopted include the Revised Public Service Rules of January 2000; Guides to </w:t>
      </w:r>
      <w:r w:rsidRPr="00130BE8">
        <w:rPr>
          <w:rFonts w:eastAsia="Arial Unicode MS"/>
        </w:rPr>
        <w:lastRenderedPageBreak/>
        <w:t>Administrative Procedures; and Financial Regulations of January 2000.  The state government needs to domesticate th</w:t>
      </w:r>
      <w:r>
        <w:rPr>
          <w:rFonts w:eastAsia="Arial Unicode MS"/>
        </w:rPr>
        <w:t xml:space="preserve">ese legislations. </w:t>
      </w:r>
      <w:r w:rsidRPr="00C8060B">
        <w:rPr>
          <w:rFonts w:eastAsia="Arial Unicode MS"/>
        </w:rPr>
        <w:t xml:space="preserve">The state is still largely dependent on guidelines issued by the Auditor General of the Federation. However, with the support of the </w:t>
      </w:r>
      <w:r w:rsidRPr="00D05713">
        <w:rPr>
          <w:rFonts w:ascii="Arial Black" w:eastAsia="Arial Unicode MS" w:hAnsi="Arial Black"/>
        </w:rPr>
        <w:t>Public Sector Governance Reform and Development Project</w:t>
      </w:r>
      <w:r w:rsidRPr="00C8060B">
        <w:rPr>
          <w:rFonts w:eastAsia="Arial Unicode MS"/>
        </w:rPr>
        <w:t>, the State has the following, either as laws or draft laws:</w:t>
      </w:r>
      <w:r>
        <w:rPr>
          <w:rFonts w:eastAsia="Arial Unicode MS"/>
        </w:rPr>
        <w:t xml:space="preserve"> </w:t>
      </w:r>
      <w:r w:rsidRPr="00B64A1E">
        <w:rPr>
          <w:rFonts w:eastAsia="Arial Unicode MS"/>
        </w:rPr>
        <w:t>Kogi State Fiscal Responsibility Law, 2012; K</w:t>
      </w:r>
      <w:r>
        <w:rPr>
          <w:rFonts w:eastAsia="Arial Unicode MS"/>
        </w:rPr>
        <w:t>ogi State Revenue Administrative</w:t>
      </w:r>
      <w:r w:rsidRPr="00B64A1E">
        <w:rPr>
          <w:rFonts w:eastAsia="Arial Unicode MS"/>
        </w:rPr>
        <w:t xml:space="preserve"> Law 2013</w:t>
      </w:r>
      <w:r>
        <w:rPr>
          <w:rFonts w:eastAsia="Arial Unicode MS"/>
        </w:rPr>
        <w:t xml:space="preserve"> </w:t>
      </w:r>
      <w:r w:rsidRPr="00B64A1E">
        <w:rPr>
          <w:rFonts w:eastAsia="Arial Unicode MS"/>
        </w:rPr>
        <w:t>(</w:t>
      </w:r>
      <w:r>
        <w:rPr>
          <w:rFonts w:eastAsia="Arial Unicode MS"/>
        </w:rPr>
        <w:t>Kogi State Revised Revenue Administrative Law 2017</w:t>
      </w:r>
      <w:r w:rsidRPr="00B64A1E">
        <w:rPr>
          <w:rFonts w:eastAsia="Arial Unicode MS"/>
        </w:rPr>
        <w:t>); Kogi State Public Procurement Law 2014, Kogi State Publ</w:t>
      </w:r>
      <w:r>
        <w:rPr>
          <w:rFonts w:eastAsia="Arial Unicode MS"/>
        </w:rPr>
        <w:t>i</w:t>
      </w:r>
      <w:r w:rsidRPr="00B64A1E">
        <w:rPr>
          <w:rFonts w:eastAsia="Arial Unicode MS"/>
        </w:rPr>
        <w:t>c Finance Ma</w:t>
      </w:r>
      <w:r>
        <w:rPr>
          <w:rFonts w:eastAsia="Arial Unicode MS"/>
        </w:rPr>
        <w:t>nagement(PFM) Law 2015</w:t>
      </w:r>
      <w:r w:rsidRPr="00B64A1E">
        <w:rPr>
          <w:rFonts w:eastAsia="Arial Unicode MS"/>
        </w:rPr>
        <w:t>; Kogi State Financial Instructions(FI</w:t>
      </w:r>
      <w:r>
        <w:rPr>
          <w:rFonts w:eastAsia="Arial Unicode MS"/>
        </w:rPr>
        <w:t>) 2015</w:t>
      </w:r>
      <w:r w:rsidRPr="00B64A1E">
        <w:rPr>
          <w:rFonts w:eastAsia="Arial Unicode MS"/>
        </w:rPr>
        <w:t xml:space="preserve">; </w:t>
      </w:r>
      <w:r w:rsidRPr="00780CFC">
        <w:rPr>
          <w:rFonts w:eastAsia="Arial Unicode MS"/>
        </w:rPr>
        <w:t>Kogi State Audit Law 2015;</w:t>
      </w:r>
      <w:r>
        <w:rPr>
          <w:rFonts w:eastAsia="Arial Unicode MS"/>
        </w:rPr>
        <w:t xml:space="preserve"> Monitoring &amp; Evaluation Policy Guides (in draft) </w:t>
      </w:r>
      <w:r w:rsidRPr="00987410">
        <w:rPr>
          <w:rFonts w:eastAsia="Arial Unicode MS"/>
        </w:rPr>
        <w:t xml:space="preserve">while the </w:t>
      </w:r>
      <w:r>
        <w:rPr>
          <w:rFonts w:eastAsia="Arial Unicode MS"/>
        </w:rPr>
        <w:t>bill is undergoing legis</w:t>
      </w:r>
      <w:r w:rsidRPr="00987410">
        <w:rPr>
          <w:rFonts w:eastAsia="Arial Unicode MS"/>
        </w:rPr>
        <w:t>lation</w:t>
      </w:r>
    </w:p>
    <w:p w:rsidR="004618F2" w:rsidRDefault="004618F2" w:rsidP="006418F1">
      <w:pPr>
        <w:pStyle w:val="NumberedPara"/>
        <w:numPr>
          <w:ilvl w:val="0"/>
          <w:numId w:val="0"/>
        </w:numPr>
        <w:rPr>
          <w:rFonts w:eastAsia="Arial Unicode MS"/>
        </w:rPr>
      </w:pPr>
    </w:p>
    <w:p w:rsidR="00DE7B46" w:rsidRPr="00B64A1E" w:rsidRDefault="00DE7B46" w:rsidP="006418F1">
      <w:pPr>
        <w:pStyle w:val="NumberedPara"/>
        <w:numPr>
          <w:ilvl w:val="0"/>
          <w:numId w:val="0"/>
        </w:numPr>
        <w:rPr>
          <w:rFonts w:eastAsia="Arial Unicode MS"/>
        </w:rPr>
      </w:pPr>
      <w:r w:rsidRPr="00596F59">
        <w:rPr>
          <w:rFonts w:ascii="Arial Narrow" w:hAnsi="Arial Narrow" w:cs="Arial"/>
          <w:bCs/>
          <w:sz w:val="24"/>
          <w:szCs w:val="26"/>
        </w:rPr>
        <w:t xml:space="preserve">1.B.1.2 </w:t>
      </w:r>
      <w:r w:rsidR="00A76322" w:rsidRPr="00596F59">
        <w:rPr>
          <w:rFonts w:ascii="Arial Narrow" w:hAnsi="Arial Narrow" w:cs="Arial"/>
          <w:bCs/>
          <w:sz w:val="24"/>
          <w:szCs w:val="26"/>
        </w:rPr>
        <w:t>Institutional Framework for PFM in Kogi State –</w:t>
      </w:r>
    </w:p>
    <w:bookmarkEnd w:id="21"/>
    <w:p w:rsidR="00CF2199" w:rsidRPr="006418F1" w:rsidRDefault="00CF2199" w:rsidP="00CF2199">
      <w:pPr>
        <w:pStyle w:val="NumberedPara"/>
        <w:tabs>
          <w:tab w:val="clear" w:pos="1287"/>
          <w:tab w:val="num" w:pos="540"/>
        </w:tabs>
        <w:ind w:left="540" w:hanging="540"/>
        <w:rPr>
          <w:rFonts w:eastAsia="Arial Unicode MS"/>
        </w:rPr>
      </w:pPr>
      <w:r w:rsidRPr="00B64A1E">
        <w:rPr>
          <w:rFonts w:eastAsia="Arial Unicode MS"/>
        </w:rPr>
        <w:t>There are three arms of government – the executive, the legislature and the judiciary.  It is the responsibility of the executive arm of gove</w:t>
      </w:r>
      <w:r w:rsidRPr="00130BE8">
        <w:t xml:space="preserve">rnment to: (i) formulate, implement and monitor the </w:t>
      </w:r>
      <w:r>
        <w:t>S</w:t>
      </w:r>
      <w:r w:rsidRPr="00130BE8">
        <w:t>tate budget; and (ii) account for its fiscal operations to the legi</w:t>
      </w:r>
      <w:r w:rsidRPr="006418F1">
        <w:rPr>
          <w:rFonts w:eastAsia="Arial Unicode MS"/>
        </w:rPr>
        <w:t xml:space="preserve">slature.  The Legislature, on the other hand, is charged with the responsibility to make laws, including the Appropriation Law, and to control the use of public funds. The focus of the judiciary </w:t>
      </w:r>
      <w:r w:rsidRPr="006418F1">
        <w:rPr>
          <w:rFonts w:eastAsia="Arial Unicode MS"/>
          <w:color w:val="000000"/>
          <w:sz w:val="23"/>
          <w:szCs w:val="23"/>
        </w:rPr>
        <w:t>extends to the determination of any question as to the civil rights and obligations of government, authority and any persons in Nigeria.</w:t>
      </w:r>
    </w:p>
    <w:p w:rsidR="00CF2199" w:rsidRPr="00130BE8" w:rsidRDefault="00CF2199" w:rsidP="00CF2199">
      <w:pPr>
        <w:pStyle w:val="NumberedPara"/>
        <w:tabs>
          <w:tab w:val="clear" w:pos="1287"/>
          <w:tab w:val="num" w:pos="540"/>
        </w:tabs>
        <w:ind w:left="540" w:hanging="540"/>
      </w:pPr>
      <w:r w:rsidRPr="006418F1">
        <w:rPr>
          <w:rFonts w:eastAsia="Arial Unicode MS"/>
        </w:rPr>
        <w:t>On the executive arm</w:t>
      </w:r>
      <w:r w:rsidR="003A475D">
        <w:rPr>
          <w:rFonts w:eastAsia="Arial Unicode MS"/>
        </w:rPr>
        <w:t xml:space="preserve"> still</w:t>
      </w:r>
      <w:r w:rsidRPr="006418F1">
        <w:rPr>
          <w:rFonts w:eastAsia="Arial Unicode MS"/>
        </w:rPr>
        <w:t xml:space="preserve">, there are essentially two types of MDAs for the PFM system: cross-sectoral MDAs and sector MDAs.  The principal cross-sectoral MDAs comprise largely the Office of </w:t>
      </w:r>
      <w:r>
        <w:rPr>
          <w:rFonts w:eastAsia="Arial Unicode MS"/>
        </w:rPr>
        <w:t xml:space="preserve">the </w:t>
      </w:r>
      <w:r w:rsidRPr="006418F1">
        <w:rPr>
          <w:rFonts w:eastAsia="Arial Unicode MS"/>
        </w:rPr>
        <w:t>Governor, the State Executive Counc</w:t>
      </w:r>
      <w:r w:rsidRPr="00130BE8">
        <w:t>i</w:t>
      </w:r>
      <w:r w:rsidRPr="006418F1">
        <w:t>l, the Es</w:t>
      </w:r>
      <w:r w:rsidRPr="00130BE8">
        <w:t xml:space="preserve">tablishments Office, the Ministry of </w:t>
      </w:r>
      <w:r>
        <w:t xml:space="preserve">Finance, </w:t>
      </w:r>
      <w:r w:rsidRPr="00130BE8">
        <w:t xml:space="preserve">Budget and </w:t>
      </w:r>
      <w:r>
        <w:t xml:space="preserve">Economic </w:t>
      </w:r>
      <w:r w:rsidRPr="00130BE8">
        <w:t xml:space="preserve">Planning, the Office of Accountant-General, the Office of Auditor-General for the State and the Office of Auditor-General for Local Governments. The Governor of a </w:t>
      </w:r>
      <w:r>
        <w:t>S</w:t>
      </w:r>
      <w:r w:rsidRPr="00130BE8">
        <w:t xml:space="preserve">tate exercises executive powers which extend to the execution and maintenance </w:t>
      </w:r>
      <w:r>
        <w:t xml:space="preserve">of </w:t>
      </w:r>
      <w:r w:rsidRPr="00130BE8">
        <w:t>the Nigerian constitution and all</w:t>
      </w:r>
      <w:r w:rsidRPr="00130BE8">
        <w:rPr>
          <w:color w:val="000000"/>
          <w:sz w:val="23"/>
          <w:szCs w:val="23"/>
        </w:rPr>
        <w:t xml:space="preserve"> laws made by the House of Assembly of the State and all matters with respect to which the House of Assembly has power to make laws. He may exercise his powers directly or through the Deputy Governor and Commissioners.  </w:t>
      </w:r>
      <w:r w:rsidRPr="00C8060B">
        <w:rPr>
          <w:sz w:val="23"/>
          <w:szCs w:val="23"/>
        </w:rPr>
        <w:t xml:space="preserve">Kogi State has </w:t>
      </w:r>
      <w:r w:rsidRPr="003A475D">
        <w:rPr>
          <w:sz w:val="23"/>
          <w:szCs w:val="23"/>
        </w:rPr>
        <w:t>a 19-member Statutory Executive Council but has, at present, been increased to 27</w:t>
      </w:r>
      <w:r w:rsidRPr="00C8060B">
        <w:rPr>
          <w:sz w:val="23"/>
          <w:szCs w:val="23"/>
        </w:rPr>
        <w:t xml:space="preserve"> to achieve a more inclusive and robust decisions,</w:t>
      </w:r>
      <w:r w:rsidRPr="00C8060B">
        <w:rPr>
          <w:rStyle w:val="FootnoteReference"/>
          <w:sz w:val="23"/>
          <w:szCs w:val="23"/>
        </w:rPr>
        <w:footnoteReference w:id="2"/>
      </w:r>
      <w:r w:rsidRPr="00C8060B">
        <w:rPr>
          <w:sz w:val="23"/>
          <w:szCs w:val="23"/>
        </w:rPr>
        <w:t>The EXCO</w:t>
      </w:r>
      <w:r>
        <w:rPr>
          <w:sz w:val="23"/>
          <w:szCs w:val="23"/>
        </w:rPr>
        <w:t xml:space="preserve"> </w:t>
      </w:r>
      <w:r w:rsidRPr="00C8060B">
        <w:rPr>
          <w:sz w:val="23"/>
          <w:szCs w:val="23"/>
        </w:rPr>
        <w:t>is</w:t>
      </w:r>
      <w:r w:rsidRPr="00130BE8">
        <w:rPr>
          <w:color w:val="000000"/>
          <w:sz w:val="23"/>
          <w:szCs w:val="23"/>
        </w:rPr>
        <w:t xml:space="preserve"> primarily concerned with strategic issues affecting the </w:t>
      </w:r>
      <w:r>
        <w:rPr>
          <w:color w:val="000000"/>
          <w:sz w:val="23"/>
          <w:szCs w:val="23"/>
        </w:rPr>
        <w:t>S</w:t>
      </w:r>
      <w:r w:rsidRPr="00130BE8">
        <w:rPr>
          <w:color w:val="000000"/>
          <w:sz w:val="23"/>
          <w:szCs w:val="23"/>
        </w:rPr>
        <w:t xml:space="preserve">tate.  The Establishments Office has the mandate for staff recruitment, training, promotions and discipline. The Ministry of </w:t>
      </w:r>
      <w:r>
        <w:rPr>
          <w:color w:val="000000"/>
          <w:sz w:val="23"/>
          <w:szCs w:val="23"/>
        </w:rPr>
        <w:t xml:space="preserve">Finance, </w:t>
      </w:r>
      <w:r w:rsidRPr="00130BE8">
        <w:rPr>
          <w:color w:val="000000"/>
          <w:sz w:val="23"/>
          <w:szCs w:val="23"/>
        </w:rPr>
        <w:t xml:space="preserve">Budget and </w:t>
      </w:r>
      <w:r>
        <w:rPr>
          <w:color w:val="000000"/>
          <w:sz w:val="23"/>
          <w:szCs w:val="23"/>
        </w:rPr>
        <w:t xml:space="preserve">Economic </w:t>
      </w:r>
      <w:r w:rsidRPr="00130BE8">
        <w:rPr>
          <w:color w:val="000000"/>
          <w:sz w:val="23"/>
          <w:szCs w:val="23"/>
        </w:rPr>
        <w:t>Planning is the anchor for</w:t>
      </w:r>
      <w:r>
        <w:rPr>
          <w:color w:val="000000"/>
          <w:sz w:val="23"/>
          <w:szCs w:val="23"/>
        </w:rPr>
        <w:t xml:space="preserve"> </w:t>
      </w:r>
      <w:r w:rsidRPr="00130BE8">
        <w:rPr>
          <w:color w:val="000000"/>
          <w:sz w:val="23"/>
          <w:szCs w:val="23"/>
        </w:rPr>
        <w:t>development planning</w:t>
      </w:r>
      <w:r>
        <w:rPr>
          <w:color w:val="000000"/>
          <w:sz w:val="23"/>
          <w:szCs w:val="23"/>
        </w:rPr>
        <w:t xml:space="preserve"> and</w:t>
      </w:r>
      <w:r w:rsidRPr="00130BE8">
        <w:rPr>
          <w:color w:val="000000"/>
          <w:sz w:val="23"/>
          <w:szCs w:val="23"/>
        </w:rPr>
        <w:t xml:space="preserve"> budget preparation.  </w:t>
      </w:r>
      <w:r w:rsidRPr="00130BE8">
        <w:t xml:space="preserve">The Office of Accountant-General is responsible for the collection, disbursement and control of </w:t>
      </w:r>
      <w:r>
        <w:t>S</w:t>
      </w:r>
      <w:r w:rsidR="000546B6">
        <w:t>tate funds and also</w:t>
      </w:r>
      <w:r w:rsidRPr="00130BE8">
        <w:t xml:space="preserve"> the preparation of the financial statements of the government. The State Auditor-General conducts post-mortem analysis of </w:t>
      </w:r>
      <w:r>
        <w:t>S</w:t>
      </w:r>
      <w:r w:rsidRPr="00130BE8">
        <w:t xml:space="preserve">tate accounts to ensure value for money in the utilization of public funds. The Office of Auditor-General for Local Governments performs similar responsibilities at the local government level and reports to the legislature at the </w:t>
      </w:r>
      <w:r>
        <w:t>S</w:t>
      </w:r>
      <w:r w:rsidRPr="00130BE8">
        <w:t xml:space="preserve">tate </w:t>
      </w:r>
      <w:r>
        <w:t>level. There are Seventeen</w:t>
      </w:r>
      <w:r w:rsidRPr="00130BE8">
        <w:t xml:space="preserve"> </w:t>
      </w:r>
      <w:r w:rsidR="000546B6">
        <w:t>(16</w:t>
      </w:r>
      <w:r>
        <w:t xml:space="preserve">) </w:t>
      </w:r>
      <w:r w:rsidRPr="00130BE8">
        <w:t>sector ministr</w:t>
      </w:r>
      <w:r>
        <w:t xml:space="preserve">ies, </w:t>
      </w:r>
      <w:r w:rsidRPr="001837A6">
        <w:t>consisting</w:t>
      </w:r>
      <w:r w:rsidRPr="00130BE8">
        <w:t xml:space="preserve"> Agriculture, Health</w:t>
      </w:r>
      <w:r>
        <w:t>,</w:t>
      </w:r>
      <w:r w:rsidRPr="00130BE8">
        <w:t xml:space="preserve"> Women Affairs</w:t>
      </w:r>
      <w:r>
        <w:t xml:space="preserve"> &amp; Social Development, Education Science &amp; Technology, Justice and Finance Budget &amp; Economic Planning</w:t>
      </w:r>
      <w:r w:rsidRPr="00130BE8">
        <w:t>.</w:t>
      </w:r>
      <w:r>
        <w:t xml:space="preserve"> The others are Commerce &amp; Industry, Culture &amp; Tourism, Environment, Water Resources, Works &amp; Housing, Transport, Rural </w:t>
      </w:r>
      <w:r w:rsidR="008F2269">
        <w:t>D</w:t>
      </w:r>
      <w:r>
        <w:t xml:space="preserve">evelopment, Youth &amp; Sports, Information &amp; Communication, Local Government &amp; Chieftaincy </w:t>
      </w:r>
      <w:r>
        <w:lastRenderedPageBreak/>
        <w:t>Affairs and Solid Mineral &amp; Natural Resources.</w:t>
      </w:r>
      <w:r w:rsidRPr="00130BE8">
        <w:t xml:space="preserve"> The </w:t>
      </w:r>
      <w:r>
        <w:t>S</w:t>
      </w:r>
      <w:r w:rsidRPr="00130BE8">
        <w:t xml:space="preserve">tate </w:t>
      </w:r>
      <w:r>
        <w:t xml:space="preserve">government has 17 extra-ministerial departments including a Bureau that </w:t>
      </w:r>
      <w:r w:rsidRPr="00187F7A">
        <w:t>was</w:t>
      </w:r>
      <w:r>
        <w:t xml:space="preserve">, hitherto, a ministry </w:t>
      </w:r>
      <w:r w:rsidRPr="00187F7A">
        <w:t>but now</w:t>
      </w:r>
      <w:r>
        <w:t xml:space="preserve"> Bu</w:t>
      </w:r>
      <w:r w:rsidR="000546B6">
        <w:t>reau for Land and Housing and 48</w:t>
      </w:r>
      <w:r>
        <w:t xml:space="preserve"> </w:t>
      </w:r>
      <w:r w:rsidRPr="00130BE8">
        <w:t>parastatals, with each one attached to a supervising ministry.</w:t>
      </w:r>
    </w:p>
    <w:p w:rsidR="00CF2199" w:rsidRDefault="00CF2199" w:rsidP="00CF2199">
      <w:pPr>
        <w:pStyle w:val="NumberedPara"/>
        <w:tabs>
          <w:tab w:val="clear" w:pos="1287"/>
          <w:tab w:val="num" w:pos="540"/>
        </w:tabs>
        <w:ind w:left="540" w:hanging="540"/>
      </w:pPr>
      <w:r w:rsidRPr="00130BE8">
        <w:t xml:space="preserve">The principal institution </w:t>
      </w:r>
      <w:r>
        <w:t xml:space="preserve">of </w:t>
      </w:r>
      <w:r w:rsidRPr="00130BE8">
        <w:t>the legislative arm is the State House of Assembly (SHoA). The House carries out its oversight functions through various standing committees</w:t>
      </w:r>
      <w:r>
        <w:t>, two of which are directly involved in the budgeting process</w:t>
      </w:r>
      <w:r w:rsidRPr="00130BE8">
        <w:t xml:space="preserve">. The committees </w:t>
      </w:r>
      <w:r>
        <w:t xml:space="preserve">are </w:t>
      </w:r>
      <w:r w:rsidRPr="00130BE8">
        <w:t>the</w:t>
      </w:r>
      <w:r>
        <w:t>:</w:t>
      </w:r>
    </w:p>
    <w:p w:rsidR="00CF2199" w:rsidRDefault="00CF2199" w:rsidP="00CF2199">
      <w:pPr>
        <w:pStyle w:val="NumberedPara"/>
        <w:numPr>
          <w:ilvl w:val="0"/>
          <w:numId w:val="0"/>
        </w:numPr>
        <w:ind w:left="540"/>
      </w:pPr>
      <w:r>
        <w:t xml:space="preserve">(i) </w:t>
      </w:r>
      <w:r w:rsidRPr="00130BE8">
        <w:t>Finance</w:t>
      </w:r>
      <w:r>
        <w:t>,</w:t>
      </w:r>
      <w:r w:rsidRPr="00130BE8">
        <w:t xml:space="preserve"> Appropriation</w:t>
      </w:r>
      <w:r>
        <w:t xml:space="preserve"> and Budget Monitoring </w:t>
      </w:r>
      <w:r w:rsidRPr="00130BE8">
        <w:t>Committee whose responsibility is to examine budget proposals and make appropriate recommendations to the entire House for consideration and approval</w:t>
      </w:r>
      <w:r>
        <w:t>; and</w:t>
      </w:r>
    </w:p>
    <w:p w:rsidR="00CF2199" w:rsidRDefault="00CF2199" w:rsidP="00CF2199">
      <w:pPr>
        <w:pStyle w:val="NumberedPara"/>
        <w:numPr>
          <w:ilvl w:val="0"/>
          <w:numId w:val="0"/>
        </w:numPr>
        <w:ind w:left="540"/>
      </w:pPr>
      <w:r>
        <w:t xml:space="preserve">(ii) </w:t>
      </w:r>
      <w:r w:rsidRPr="00130BE8">
        <w:t>Public Accounts Committee (PAC)</w:t>
      </w:r>
      <w:r>
        <w:t xml:space="preserve"> -</w:t>
      </w:r>
      <w:r w:rsidRPr="00130BE8">
        <w:t xml:space="preserve"> Section 125, Sub-Section 5 of the 1999 Constitution empowers the PAC to carry out investigations on the reports of the State Auditor-General and the Auditor-General for Local Governments.</w:t>
      </w:r>
    </w:p>
    <w:p w:rsidR="00CF2199" w:rsidRPr="0099452E" w:rsidRDefault="00CF2199" w:rsidP="009A316E">
      <w:pPr>
        <w:pStyle w:val="NumberedPara"/>
        <w:tabs>
          <w:tab w:val="clear" w:pos="1287"/>
        </w:tabs>
        <w:ind w:left="540"/>
      </w:pPr>
      <w:r w:rsidRPr="0099452E">
        <w:t xml:space="preserve">The judicial powers of a State are vested in the courts. The courts comprise the Supreme Court of Nigeria, </w:t>
      </w:r>
      <w:r w:rsidR="008F2269" w:rsidRPr="00C46135">
        <w:t xml:space="preserve">the Appeal </w:t>
      </w:r>
      <w:r w:rsidR="00274584" w:rsidRPr="00C46135">
        <w:t xml:space="preserve">of </w:t>
      </w:r>
      <w:r w:rsidR="008F2269" w:rsidRPr="00C46135">
        <w:t>Court,</w:t>
      </w:r>
      <w:r w:rsidR="008F2269">
        <w:t xml:space="preserve"> </w:t>
      </w:r>
      <w:r w:rsidRPr="0099452E">
        <w:t>the Federal Court of Appeal, the Federal High Court, a High Court of Kogi State, the Sharia Court of Appeal of Kogi state, and a Customary Court of Appeal of Kogi state.</w:t>
      </w:r>
      <w:r w:rsidRPr="0099452E">
        <w:rPr>
          <w:rStyle w:val="FootnoteReference"/>
          <w:rFonts w:cs="Tahoma"/>
          <w:szCs w:val="22"/>
        </w:rPr>
        <w:footnoteReference w:id="3"/>
      </w:r>
      <w:r w:rsidRPr="0099452E">
        <w:t xml:space="preserve">  The Ministry of Justice</w:t>
      </w:r>
      <w:r w:rsidR="000546B6">
        <w:t xml:space="preserve">, </w:t>
      </w:r>
      <w:r w:rsidR="009A316E" w:rsidRPr="009A316E">
        <w:rPr>
          <w:rFonts w:cs="Tahoma"/>
          <w:szCs w:val="22"/>
        </w:rPr>
        <w:t>Public Defender and Citizens' Rights Commission</w:t>
      </w:r>
      <w:r w:rsidR="009A316E" w:rsidRPr="0099452E">
        <w:t xml:space="preserve"> </w:t>
      </w:r>
      <w:r w:rsidRPr="0099452E">
        <w:t>and the Judicial Service Commission on the executive arm of government complement these courts.</w:t>
      </w:r>
      <w:bookmarkStart w:id="23" w:name="_Toc340053634"/>
      <w:bookmarkEnd w:id="23"/>
    </w:p>
    <w:p w:rsidR="00A76322" w:rsidRPr="004F68B1" w:rsidRDefault="00CF2199" w:rsidP="00CF2199">
      <w:pPr>
        <w:pStyle w:val="NumberedPara"/>
        <w:tabs>
          <w:tab w:val="clear" w:pos="1287"/>
          <w:tab w:val="num" w:pos="540"/>
        </w:tabs>
        <w:ind w:left="540" w:hanging="540"/>
      </w:pPr>
      <w:r>
        <w:t>Indicative Budget Calendar for Kogi State Government is presented below:</w:t>
      </w:r>
    </w:p>
    <w:p w:rsidR="00A76322" w:rsidRDefault="00A76322" w:rsidP="00A76322">
      <w:pPr>
        <w:pStyle w:val="StyleCaptionCentered"/>
      </w:pPr>
      <w:bookmarkStart w:id="24" w:name="_Toc79827145"/>
      <w:r>
        <w:t xml:space="preserve">Table </w:t>
      </w:r>
      <w:r w:rsidR="00DF033A">
        <w:fldChar w:fldCharType="begin"/>
      </w:r>
      <w:r>
        <w:instrText xml:space="preserve"> SEQ Table \* ARABIC </w:instrText>
      </w:r>
      <w:r w:rsidR="00DF033A">
        <w:fldChar w:fldCharType="separate"/>
      </w:r>
      <w:r w:rsidR="007A24D6">
        <w:rPr>
          <w:noProof/>
        </w:rPr>
        <w:t>1</w:t>
      </w:r>
      <w:r w:rsidR="00DF033A">
        <w:fldChar w:fldCharType="end"/>
      </w:r>
      <w:r>
        <w:t>: Budget Calendar</w:t>
      </w:r>
      <w:bookmarkEnd w:id="24"/>
    </w:p>
    <w:tbl>
      <w:tblPr>
        <w:tblW w:w="10486" w:type="dxa"/>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1738"/>
        <w:gridCol w:w="2982"/>
        <w:gridCol w:w="1369"/>
        <w:gridCol w:w="1931"/>
        <w:gridCol w:w="1846"/>
      </w:tblGrid>
      <w:tr w:rsidR="00B2278A" w:rsidTr="00CF2199">
        <w:trPr>
          <w:trHeight w:val="20"/>
        </w:trPr>
        <w:tc>
          <w:tcPr>
            <w:tcW w:w="620" w:type="dxa"/>
            <w:vMerge w:val="restart"/>
            <w:shd w:val="clear" w:color="auto" w:fill="948A54"/>
          </w:tcPr>
          <w:p w:rsidR="00B2278A" w:rsidRPr="00BE0CC6" w:rsidRDefault="00B2278A" w:rsidP="006F797F">
            <w:pPr>
              <w:spacing w:after="0"/>
              <w:jc w:val="center"/>
              <w:rPr>
                <w:rFonts w:ascii="Arial Narrow" w:hAnsi="Arial Narrow" w:cs="Tahoma"/>
                <w:b/>
                <w:color w:val="7030A0"/>
                <w:sz w:val="24"/>
              </w:rPr>
            </w:pPr>
            <w:r w:rsidRPr="00BE0CC6">
              <w:rPr>
                <w:rFonts w:ascii="Arial Narrow" w:hAnsi="Arial Narrow" w:cs="Tahoma"/>
                <w:b/>
                <w:color w:val="7030A0"/>
                <w:sz w:val="24"/>
              </w:rPr>
              <w:t>S/N</w:t>
            </w:r>
          </w:p>
        </w:tc>
        <w:tc>
          <w:tcPr>
            <w:tcW w:w="1738" w:type="dxa"/>
            <w:vMerge w:val="restart"/>
            <w:shd w:val="clear" w:color="auto" w:fill="948A54"/>
          </w:tcPr>
          <w:p w:rsidR="00B2278A" w:rsidRPr="00BE0CC6" w:rsidRDefault="00B2278A" w:rsidP="006F797F">
            <w:pPr>
              <w:spacing w:after="0"/>
              <w:jc w:val="center"/>
              <w:rPr>
                <w:rFonts w:ascii="Arial Narrow" w:hAnsi="Arial Narrow" w:cs="Tahoma"/>
                <w:b/>
                <w:color w:val="7030A0"/>
                <w:sz w:val="24"/>
              </w:rPr>
            </w:pPr>
            <w:r w:rsidRPr="00BE0CC6">
              <w:rPr>
                <w:rFonts w:ascii="Arial Narrow" w:hAnsi="Arial Narrow" w:cs="Tahoma"/>
                <w:b/>
                <w:color w:val="7030A0"/>
                <w:sz w:val="24"/>
              </w:rPr>
              <w:t>SUBJECT</w:t>
            </w:r>
          </w:p>
        </w:tc>
        <w:tc>
          <w:tcPr>
            <w:tcW w:w="2982" w:type="dxa"/>
            <w:vMerge w:val="restart"/>
            <w:shd w:val="clear" w:color="auto" w:fill="948A54"/>
          </w:tcPr>
          <w:p w:rsidR="00B2278A" w:rsidRPr="00BE0CC6" w:rsidRDefault="00B2278A" w:rsidP="006F797F">
            <w:pPr>
              <w:spacing w:after="0"/>
              <w:jc w:val="center"/>
              <w:rPr>
                <w:rFonts w:ascii="Arial Narrow" w:hAnsi="Arial Narrow" w:cs="Tahoma"/>
                <w:b/>
                <w:color w:val="7030A0"/>
                <w:sz w:val="24"/>
              </w:rPr>
            </w:pPr>
            <w:r w:rsidRPr="00BE0CC6">
              <w:rPr>
                <w:rFonts w:ascii="Arial Narrow" w:hAnsi="Arial Narrow" w:cs="Tahoma"/>
                <w:b/>
                <w:color w:val="7030A0"/>
                <w:sz w:val="24"/>
              </w:rPr>
              <w:t>ACTIVITIES</w:t>
            </w:r>
          </w:p>
        </w:tc>
        <w:tc>
          <w:tcPr>
            <w:tcW w:w="1369" w:type="dxa"/>
            <w:vMerge w:val="restart"/>
            <w:shd w:val="clear" w:color="auto" w:fill="948A54"/>
          </w:tcPr>
          <w:p w:rsidR="00B2278A" w:rsidRPr="00BE0CC6" w:rsidRDefault="00B2278A" w:rsidP="006F797F">
            <w:pPr>
              <w:spacing w:after="0"/>
              <w:jc w:val="center"/>
              <w:rPr>
                <w:rFonts w:ascii="Arial Narrow" w:hAnsi="Arial Narrow" w:cs="Tahoma"/>
                <w:b/>
                <w:color w:val="7030A0"/>
                <w:sz w:val="24"/>
              </w:rPr>
            </w:pPr>
            <w:r w:rsidRPr="00BE0CC6">
              <w:rPr>
                <w:rFonts w:ascii="Arial Narrow" w:hAnsi="Arial Narrow" w:cs="Tahoma"/>
                <w:b/>
                <w:color w:val="7030A0"/>
                <w:sz w:val="24"/>
              </w:rPr>
              <w:t>DATE</w:t>
            </w:r>
          </w:p>
          <w:p w:rsidR="00B2278A" w:rsidRPr="00BE0CC6" w:rsidRDefault="00141942" w:rsidP="006F797F">
            <w:pPr>
              <w:spacing w:after="0"/>
              <w:jc w:val="center"/>
              <w:rPr>
                <w:rFonts w:ascii="Arial Narrow" w:hAnsi="Arial Narrow" w:cs="Tahoma"/>
                <w:b/>
                <w:color w:val="7030A0"/>
                <w:sz w:val="24"/>
              </w:rPr>
            </w:pPr>
            <w:r>
              <w:rPr>
                <w:rFonts w:ascii="Arial Narrow" w:hAnsi="Arial Narrow" w:cs="Tahoma"/>
                <w:b/>
                <w:color w:val="7030A0"/>
                <w:sz w:val="24"/>
              </w:rPr>
              <w:t>YEAR 2021</w:t>
            </w:r>
            <w:r w:rsidR="00ED15A2">
              <w:rPr>
                <w:rFonts w:ascii="Arial Narrow" w:hAnsi="Arial Narrow" w:cs="Tahoma"/>
                <w:b/>
                <w:color w:val="7030A0"/>
                <w:sz w:val="24"/>
              </w:rPr>
              <w:t>/2</w:t>
            </w:r>
            <w:r>
              <w:rPr>
                <w:rFonts w:ascii="Arial Narrow" w:hAnsi="Arial Narrow" w:cs="Tahoma"/>
                <w:b/>
                <w:color w:val="7030A0"/>
                <w:sz w:val="24"/>
              </w:rPr>
              <w:t>2</w:t>
            </w:r>
          </w:p>
        </w:tc>
        <w:tc>
          <w:tcPr>
            <w:tcW w:w="3777" w:type="dxa"/>
            <w:gridSpan w:val="2"/>
            <w:shd w:val="clear" w:color="auto" w:fill="948A54"/>
          </w:tcPr>
          <w:p w:rsidR="00B2278A" w:rsidRPr="00BE0CC6" w:rsidRDefault="00B2278A" w:rsidP="006F797F">
            <w:pPr>
              <w:spacing w:after="0"/>
              <w:jc w:val="center"/>
              <w:rPr>
                <w:rFonts w:ascii="Arial Narrow" w:hAnsi="Arial Narrow" w:cs="Tahoma"/>
                <w:b/>
                <w:color w:val="7030A0"/>
                <w:sz w:val="24"/>
              </w:rPr>
            </w:pPr>
            <w:r w:rsidRPr="00BE0CC6">
              <w:rPr>
                <w:rFonts w:ascii="Arial Narrow" w:hAnsi="Arial Narrow" w:cs="Tahoma"/>
                <w:b/>
                <w:color w:val="7030A0"/>
                <w:sz w:val="24"/>
              </w:rPr>
              <w:t>RESPONSIBILITY</w:t>
            </w:r>
          </w:p>
        </w:tc>
      </w:tr>
      <w:tr w:rsidR="00B2278A" w:rsidTr="00CF2199">
        <w:trPr>
          <w:trHeight w:val="20"/>
        </w:trPr>
        <w:tc>
          <w:tcPr>
            <w:tcW w:w="620" w:type="dxa"/>
            <w:vMerge/>
            <w:shd w:val="clear" w:color="auto" w:fill="948A54"/>
          </w:tcPr>
          <w:p w:rsidR="00B2278A" w:rsidRPr="00BE0CC6" w:rsidRDefault="00B2278A" w:rsidP="006F797F">
            <w:pPr>
              <w:spacing w:after="0"/>
              <w:jc w:val="center"/>
              <w:rPr>
                <w:rFonts w:ascii="Arial Narrow" w:hAnsi="Arial Narrow" w:cs="Tahoma"/>
                <w:b/>
                <w:color w:val="7030A0"/>
                <w:sz w:val="24"/>
              </w:rPr>
            </w:pPr>
          </w:p>
        </w:tc>
        <w:tc>
          <w:tcPr>
            <w:tcW w:w="1738" w:type="dxa"/>
            <w:vMerge/>
            <w:shd w:val="clear" w:color="auto" w:fill="948A54"/>
          </w:tcPr>
          <w:p w:rsidR="00B2278A" w:rsidRPr="00BE0CC6" w:rsidRDefault="00B2278A" w:rsidP="006F797F">
            <w:pPr>
              <w:spacing w:after="0"/>
              <w:jc w:val="center"/>
              <w:rPr>
                <w:rFonts w:ascii="Arial Narrow" w:hAnsi="Arial Narrow" w:cs="Tahoma"/>
                <w:b/>
                <w:color w:val="7030A0"/>
                <w:sz w:val="24"/>
              </w:rPr>
            </w:pPr>
          </w:p>
        </w:tc>
        <w:tc>
          <w:tcPr>
            <w:tcW w:w="2982" w:type="dxa"/>
            <w:vMerge/>
            <w:shd w:val="clear" w:color="auto" w:fill="948A54"/>
          </w:tcPr>
          <w:p w:rsidR="00B2278A" w:rsidRPr="00BE0CC6" w:rsidRDefault="00B2278A" w:rsidP="006F797F">
            <w:pPr>
              <w:spacing w:after="0"/>
              <w:jc w:val="center"/>
              <w:rPr>
                <w:rFonts w:ascii="Arial Narrow" w:hAnsi="Arial Narrow" w:cs="Tahoma"/>
                <w:b/>
                <w:color w:val="7030A0"/>
                <w:sz w:val="24"/>
              </w:rPr>
            </w:pPr>
          </w:p>
        </w:tc>
        <w:tc>
          <w:tcPr>
            <w:tcW w:w="1369" w:type="dxa"/>
            <w:vMerge/>
            <w:shd w:val="clear" w:color="auto" w:fill="948A54"/>
          </w:tcPr>
          <w:p w:rsidR="00B2278A" w:rsidRPr="00BE0CC6" w:rsidRDefault="00B2278A" w:rsidP="006F797F">
            <w:pPr>
              <w:spacing w:after="0"/>
              <w:jc w:val="center"/>
              <w:rPr>
                <w:rFonts w:ascii="Arial Narrow" w:hAnsi="Arial Narrow" w:cs="Tahoma"/>
                <w:b/>
                <w:color w:val="7030A0"/>
                <w:sz w:val="24"/>
              </w:rPr>
            </w:pPr>
          </w:p>
        </w:tc>
        <w:tc>
          <w:tcPr>
            <w:tcW w:w="1931" w:type="dxa"/>
            <w:shd w:val="clear" w:color="auto" w:fill="948A54"/>
          </w:tcPr>
          <w:p w:rsidR="00B2278A" w:rsidRPr="00BE0CC6" w:rsidRDefault="00B2278A" w:rsidP="006F797F">
            <w:pPr>
              <w:spacing w:after="0"/>
              <w:jc w:val="center"/>
              <w:rPr>
                <w:rFonts w:ascii="Arial Narrow" w:hAnsi="Arial Narrow" w:cs="Tahoma"/>
                <w:b/>
                <w:color w:val="7030A0"/>
                <w:sz w:val="24"/>
              </w:rPr>
            </w:pPr>
            <w:r w:rsidRPr="00BE0CC6">
              <w:rPr>
                <w:rFonts w:ascii="Arial Narrow" w:hAnsi="Arial Narrow" w:cs="Tahoma"/>
                <w:b/>
                <w:color w:val="7030A0"/>
                <w:sz w:val="24"/>
              </w:rPr>
              <w:t>Agency</w:t>
            </w:r>
          </w:p>
        </w:tc>
        <w:tc>
          <w:tcPr>
            <w:tcW w:w="1846" w:type="dxa"/>
            <w:shd w:val="clear" w:color="auto" w:fill="948A54"/>
          </w:tcPr>
          <w:p w:rsidR="00B2278A" w:rsidRPr="00BE0CC6" w:rsidRDefault="00B2278A" w:rsidP="006F797F">
            <w:pPr>
              <w:spacing w:after="0"/>
              <w:jc w:val="center"/>
              <w:rPr>
                <w:rFonts w:ascii="Arial Narrow" w:hAnsi="Arial Narrow" w:cs="Tahoma"/>
                <w:b/>
                <w:color w:val="7030A0"/>
                <w:sz w:val="24"/>
              </w:rPr>
            </w:pPr>
            <w:r w:rsidRPr="00BE0CC6">
              <w:rPr>
                <w:rFonts w:ascii="Arial Narrow" w:hAnsi="Arial Narrow" w:cs="Tahoma"/>
                <w:b/>
                <w:color w:val="7030A0"/>
                <w:sz w:val="24"/>
              </w:rPr>
              <w:t>Officer</w:t>
            </w:r>
          </w:p>
        </w:tc>
      </w:tr>
      <w:tr w:rsidR="00B2278A" w:rsidTr="00CF2199">
        <w:trPr>
          <w:trHeight w:val="20"/>
        </w:trPr>
        <w:tc>
          <w:tcPr>
            <w:tcW w:w="620" w:type="dxa"/>
            <w:vMerge w:val="restart"/>
          </w:tcPr>
          <w:p w:rsidR="00B2278A" w:rsidRPr="00BE0CC6" w:rsidRDefault="00B2278A" w:rsidP="006F797F">
            <w:pPr>
              <w:spacing w:after="0"/>
              <w:jc w:val="both"/>
              <w:rPr>
                <w:rFonts w:cs="Tahoma"/>
                <w:szCs w:val="22"/>
              </w:rPr>
            </w:pPr>
            <w:r w:rsidRPr="00BE0CC6">
              <w:rPr>
                <w:rFonts w:cs="Tahoma"/>
                <w:szCs w:val="22"/>
              </w:rPr>
              <w:t>1</w:t>
            </w:r>
          </w:p>
        </w:tc>
        <w:tc>
          <w:tcPr>
            <w:tcW w:w="1738" w:type="dxa"/>
            <w:vMerge w:val="restart"/>
          </w:tcPr>
          <w:p w:rsidR="00B2278A" w:rsidRPr="00BE0CC6" w:rsidRDefault="00ED15A2" w:rsidP="006F797F">
            <w:pPr>
              <w:spacing w:after="0"/>
              <w:jc w:val="both"/>
              <w:rPr>
                <w:rFonts w:cs="Tahoma"/>
                <w:szCs w:val="22"/>
              </w:rPr>
            </w:pPr>
            <w:r>
              <w:rPr>
                <w:rFonts w:cs="Tahoma"/>
                <w:szCs w:val="22"/>
              </w:rPr>
              <w:t>Commencement of Year 20</w:t>
            </w:r>
            <w:r w:rsidR="00141942">
              <w:rPr>
                <w:rFonts w:cs="Tahoma"/>
                <w:szCs w:val="22"/>
              </w:rPr>
              <w:t>22</w:t>
            </w:r>
            <w:r w:rsidR="00B2278A" w:rsidRPr="00BE0CC6">
              <w:rPr>
                <w:rFonts w:cs="Tahoma"/>
                <w:szCs w:val="22"/>
              </w:rPr>
              <w:t xml:space="preserve"> Budget Preparation</w:t>
            </w:r>
          </w:p>
        </w:tc>
        <w:tc>
          <w:tcPr>
            <w:tcW w:w="2982" w:type="dxa"/>
          </w:tcPr>
          <w:p w:rsidR="00B2278A" w:rsidRPr="00BE0CC6" w:rsidRDefault="00B2278A" w:rsidP="00CF2199">
            <w:pPr>
              <w:spacing w:after="0"/>
              <w:jc w:val="both"/>
              <w:rPr>
                <w:rFonts w:cs="Tahoma"/>
                <w:szCs w:val="22"/>
              </w:rPr>
            </w:pPr>
            <w:r w:rsidRPr="00BE0CC6">
              <w:rPr>
                <w:rFonts w:cs="Tahoma"/>
                <w:szCs w:val="22"/>
              </w:rPr>
              <w:t>(a) Review of Macroeconomic Framework and input of latest data to Medium Term Fiscal Strategy (MTFS) model</w:t>
            </w:r>
          </w:p>
        </w:tc>
        <w:tc>
          <w:tcPr>
            <w:tcW w:w="1369" w:type="dxa"/>
          </w:tcPr>
          <w:p w:rsidR="00B2278A" w:rsidRPr="00BE0CC6" w:rsidRDefault="00092EFD" w:rsidP="006F797F">
            <w:pPr>
              <w:spacing w:after="0"/>
              <w:jc w:val="both"/>
              <w:rPr>
                <w:rFonts w:cs="Tahoma"/>
                <w:szCs w:val="22"/>
              </w:rPr>
            </w:pPr>
            <w:r>
              <w:rPr>
                <w:rFonts w:cs="Tahoma"/>
                <w:szCs w:val="22"/>
              </w:rPr>
              <w:t>April</w:t>
            </w:r>
            <w:r w:rsidR="00CF2199">
              <w:rPr>
                <w:rFonts w:cs="Tahoma"/>
                <w:szCs w:val="22"/>
              </w:rPr>
              <w:t xml:space="preserve"> 202</w:t>
            </w:r>
            <w:r w:rsidR="007A2219">
              <w:rPr>
                <w:rFonts w:cs="Tahoma"/>
                <w:szCs w:val="22"/>
              </w:rPr>
              <w:t>1</w:t>
            </w:r>
          </w:p>
        </w:tc>
        <w:tc>
          <w:tcPr>
            <w:tcW w:w="1931" w:type="dxa"/>
          </w:tcPr>
          <w:p w:rsidR="00B2278A" w:rsidRPr="00BE0CC6" w:rsidRDefault="00B2278A" w:rsidP="006F797F">
            <w:pPr>
              <w:spacing w:after="0"/>
              <w:jc w:val="both"/>
              <w:rPr>
                <w:rFonts w:cs="Tahoma"/>
                <w:szCs w:val="22"/>
              </w:rPr>
            </w:pPr>
            <w:r w:rsidRPr="00BE0CC6">
              <w:rPr>
                <w:rFonts w:cs="Tahoma"/>
                <w:szCs w:val="22"/>
              </w:rPr>
              <w:t>Technical Working Group (TWG)</w:t>
            </w:r>
          </w:p>
        </w:tc>
        <w:tc>
          <w:tcPr>
            <w:tcW w:w="1846" w:type="dxa"/>
          </w:tcPr>
          <w:p w:rsidR="00B2278A" w:rsidRPr="00BE0CC6" w:rsidRDefault="00B2278A" w:rsidP="006F797F">
            <w:pPr>
              <w:spacing w:after="0"/>
              <w:jc w:val="both"/>
              <w:rPr>
                <w:rFonts w:cs="Tahoma"/>
                <w:szCs w:val="22"/>
              </w:rPr>
            </w:pPr>
            <w:r w:rsidRPr="00BE0CC6">
              <w:rPr>
                <w:rFonts w:cs="Tahoma"/>
                <w:szCs w:val="22"/>
              </w:rPr>
              <w:t>D</w:t>
            </w:r>
            <w:r w:rsidR="00CF2199">
              <w:rPr>
                <w:rFonts w:cs="Tahoma"/>
                <w:szCs w:val="22"/>
              </w:rPr>
              <w:t>irector Budget</w:t>
            </w:r>
          </w:p>
        </w:tc>
      </w:tr>
      <w:tr w:rsidR="007A2219" w:rsidTr="00CF2199">
        <w:trPr>
          <w:trHeight w:val="20"/>
        </w:trPr>
        <w:tc>
          <w:tcPr>
            <w:tcW w:w="620" w:type="dxa"/>
            <w:vMerge/>
          </w:tcPr>
          <w:p w:rsidR="007A2219" w:rsidRPr="00BE0CC6" w:rsidRDefault="007A2219" w:rsidP="007A2219">
            <w:pPr>
              <w:spacing w:after="0"/>
              <w:jc w:val="both"/>
              <w:rPr>
                <w:rFonts w:cs="Tahoma"/>
                <w:szCs w:val="22"/>
              </w:rPr>
            </w:pPr>
          </w:p>
        </w:tc>
        <w:tc>
          <w:tcPr>
            <w:tcW w:w="1738" w:type="dxa"/>
            <w:vMerge/>
          </w:tcPr>
          <w:p w:rsidR="007A2219" w:rsidRPr="00BE0CC6" w:rsidRDefault="007A2219" w:rsidP="007A2219">
            <w:pPr>
              <w:spacing w:after="0"/>
              <w:jc w:val="both"/>
              <w:rPr>
                <w:rFonts w:cs="Tahoma"/>
                <w:szCs w:val="22"/>
              </w:rPr>
            </w:pPr>
          </w:p>
        </w:tc>
        <w:tc>
          <w:tcPr>
            <w:tcW w:w="2982" w:type="dxa"/>
          </w:tcPr>
          <w:p w:rsidR="007A2219" w:rsidRPr="00BE0CC6" w:rsidRDefault="007A2219" w:rsidP="007A2219">
            <w:pPr>
              <w:spacing w:after="0"/>
              <w:jc w:val="both"/>
              <w:rPr>
                <w:rFonts w:cs="Tahoma"/>
                <w:szCs w:val="22"/>
              </w:rPr>
            </w:pPr>
            <w:r>
              <w:rPr>
                <w:rFonts w:cs="Tahoma"/>
                <w:szCs w:val="22"/>
              </w:rPr>
              <w:t>(b</w:t>
            </w:r>
            <w:r w:rsidRPr="00BE0CC6">
              <w:rPr>
                <w:rFonts w:cs="Tahoma"/>
                <w:szCs w:val="22"/>
              </w:rPr>
              <w:t>) Meeting with Major Revenue Gene</w:t>
            </w:r>
            <w:r>
              <w:rPr>
                <w:rFonts w:cs="Tahoma"/>
                <w:szCs w:val="22"/>
              </w:rPr>
              <w:t>rating Agencies on Strategy 2022</w:t>
            </w:r>
            <w:r w:rsidRPr="00BE0CC6">
              <w:rPr>
                <w:rFonts w:cs="Tahoma"/>
                <w:szCs w:val="22"/>
              </w:rPr>
              <w:t>-20</w:t>
            </w:r>
            <w:r>
              <w:rPr>
                <w:rFonts w:cs="Tahoma"/>
                <w:szCs w:val="22"/>
              </w:rPr>
              <w:t xml:space="preserve">24 </w:t>
            </w:r>
            <w:r w:rsidRPr="00BE0CC6">
              <w:rPr>
                <w:rFonts w:cs="Tahoma"/>
                <w:szCs w:val="22"/>
              </w:rPr>
              <w:t>MTFS</w:t>
            </w:r>
          </w:p>
        </w:tc>
        <w:tc>
          <w:tcPr>
            <w:tcW w:w="1369" w:type="dxa"/>
          </w:tcPr>
          <w:p w:rsidR="007A2219" w:rsidRPr="00BE0CC6" w:rsidRDefault="007A2219" w:rsidP="007A2219">
            <w:pPr>
              <w:spacing w:after="0"/>
              <w:jc w:val="both"/>
              <w:rPr>
                <w:rFonts w:cs="Tahoma"/>
                <w:szCs w:val="22"/>
              </w:rPr>
            </w:pPr>
            <w:r w:rsidRPr="00BE0CC6">
              <w:rPr>
                <w:rFonts w:cs="Tahoma"/>
                <w:szCs w:val="22"/>
              </w:rPr>
              <w:t>June</w:t>
            </w:r>
            <w:r>
              <w:rPr>
                <w:rFonts w:cs="Tahoma"/>
                <w:szCs w:val="22"/>
              </w:rPr>
              <w:t xml:space="preserve"> 2021</w:t>
            </w:r>
          </w:p>
        </w:tc>
        <w:tc>
          <w:tcPr>
            <w:tcW w:w="1931" w:type="dxa"/>
          </w:tcPr>
          <w:p w:rsidR="007A2219" w:rsidRPr="00BE0CC6" w:rsidRDefault="007A2219" w:rsidP="007A2219">
            <w:pPr>
              <w:spacing w:after="0"/>
              <w:jc w:val="both"/>
              <w:rPr>
                <w:rFonts w:cs="Tahoma"/>
                <w:szCs w:val="22"/>
              </w:rPr>
            </w:pPr>
            <w:r w:rsidRPr="00BE0CC6">
              <w:rPr>
                <w:rFonts w:cs="Tahoma"/>
                <w:szCs w:val="22"/>
              </w:rPr>
              <w:t>M</w:t>
            </w:r>
            <w:r>
              <w:rPr>
                <w:rFonts w:cs="Tahoma"/>
                <w:szCs w:val="22"/>
              </w:rPr>
              <w:t>F</w:t>
            </w:r>
            <w:r w:rsidRPr="00BE0CC6">
              <w:rPr>
                <w:rFonts w:cs="Tahoma"/>
                <w:szCs w:val="22"/>
              </w:rPr>
              <w:t>B</w:t>
            </w:r>
            <w:r>
              <w:rPr>
                <w:rFonts w:cs="Tahoma"/>
                <w:szCs w:val="22"/>
              </w:rPr>
              <w:t>&amp;E</w:t>
            </w:r>
            <w:r w:rsidRPr="00BE0CC6">
              <w:rPr>
                <w:rFonts w:cs="Tahoma"/>
                <w:szCs w:val="22"/>
              </w:rPr>
              <w:t>P/Revenue Stakeholders</w:t>
            </w:r>
          </w:p>
        </w:tc>
        <w:tc>
          <w:tcPr>
            <w:tcW w:w="1846" w:type="dxa"/>
          </w:tcPr>
          <w:p w:rsidR="007A2219" w:rsidRPr="00BE0CC6" w:rsidRDefault="007A2219" w:rsidP="007A2219">
            <w:pPr>
              <w:spacing w:after="0"/>
              <w:jc w:val="both"/>
              <w:rPr>
                <w:rFonts w:cs="Tahoma"/>
                <w:szCs w:val="22"/>
              </w:rPr>
            </w:pPr>
            <w:r w:rsidRPr="00BE0CC6">
              <w:rPr>
                <w:rFonts w:cs="Tahoma"/>
                <w:szCs w:val="22"/>
              </w:rPr>
              <w:t>Director Budget</w:t>
            </w:r>
          </w:p>
        </w:tc>
      </w:tr>
      <w:tr w:rsidR="007A2219" w:rsidTr="00CF2199">
        <w:trPr>
          <w:trHeight w:val="20"/>
        </w:trPr>
        <w:tc>
          <w:tcPr>
            <w:tcW w:w="620" w:type="dxa"/>
            <w:vMerge/>
          </w:tcPr>
          <w:p w:rsidR="007A2219" w:rsidRPr="00BE0CC6" w:rsidRDefault="007A2219" w:rsidP="007A2219">
            <w:pPr>
              <w:spacing w:after="0"/>
              <w:jc w:val="both"/>
              <w:rPr>
                <w:rFonts w:cs="Tahoma"/>
                <w:szCs w:val="22"/>
              </w:rPr>
            </w:pPr>
          </w:p>
        </w:tc>
        <w:tc>
          <w:tcPr>
            <w:tcW w:w="1738" w:type="dxa"/>
            <w:vMerge/>
          </w:tcPr>
          <w:p w:rsidR="007A2219" w:rsidRPr="00BE0CC6" w:rsidRDefault="007A2219" w:rsidP="007A2219">
            <w:pPr>
              <w:spacing w:after="0"/>
              <w:jc w:val="both"/>
              <w:rPr>
                <w:rFonts w:cs="Tahoma"/>
                <w:szCs w:val="22"/>
              </w:rPr>
            </w:pPr>
          </w:p>
        </w:tc>
        <w:tc>
          <w:tcPr>
            <w:tcW w:w="2982" w:type="dxa"/>
          </w:tcPr>
          <w:p w:rsidR="007A2219" w:rsidRPr="00BE0CC6" w:rsidRDefault="007A2219" w:rsidP="007A2219">
            <w:pPr>
              <w:spacing w:after="0"/>
              <w:jc w:val="both"/>
              <w:rPr>
                <w:rFonts w:cs="Tahoma"/>
                <w:szCs w:val="22"/>
              </w:rPr>
            </w:pPr>
            <w:r>
              <w:rPr>
                <w:rFonts w:cs="Tahoma"/>
                <w:szCs w:val="22"/>
              </w:rPr>
              <w:t>(c) Public Consultation o</w:t>
            </w:r>
            <w:r w:rsidRPr="00BE0CC6">
              <w:rPr>
                <w:rFonts w:cs="Tahoma"/>
                <w:szCs w:val="22"/>
              </w:rPr>
              <w:t>n the Framework, FSP, Revenue and Expenditure Framework.</w:t>
            </w:r>
          </w:p>
        </w:tc>
        <w:tc>
          <w:tcPr>
            <w:tcW w:w="1369" w:type="dxa"/>
          </w:tcPr>
          <w:p w:rsidR="007A2219" w:rsidRPr="00BE0CC6" w:rsidRDefault="007A2219" w:rsidP="007A2219">
            <w:pPr>
              <w:spacing w:after="0"/>
              <w:jc w:val="both"/>
              <w:rPr>
                <w:rFonts w:cs="Tahoma"/>
                <w:szCs w:val="22"/>
              </w:rPr>
            </w:pPr>
            <w:r w:rsidRPr="00BE0CC6">
              <w:rPr>
                <w:rFonts w:cs="Tahoma"/>
                <w:szCs w:val="22"/>
              </w:rPr>
              <w:t>June</w:t>
            </w:r>
            <w:r>
              <w:rPr>
                <w:rFonts w:cs="Tahoma"/>
                <w:szCs w:val="22"/>
              </w:rPr>
              <w:t xml:space="preserve"> 2021</w:t>
            </w:r>
          </w:p>
        </w:tc>
        <w:tc>
          <w:tcPr>
            <w:tcW w:w="1931" w:type="dxa"/>
          </w:tcPr>
          <w:p w:rsidR="007A2219" w:rsidRPr="00BE0CC6" w:rsidRDefault="007A2219" w:rsidP="007A2219">
            <w:pPr>
              <w:spacing w:after="0"/>
              <w:jc w:val="both"/>
              <w:rPr>
                <w:rFonts w:cs="Tahoma"/>
                <w:szCs w:val="22"/>
              </w:rPr>
            </w:pPr>
            <w:r w:rsidRPr="00BE0CC6">
              <w:rPr>
                <w:rFonts w:cs="Tahoma"/>
                <w:szCs w:val="22"/>
              </w:rPr>
              <w:t>M</w:t>
            </w:r>
            <w:r>
              <w:rPr>
                <w:rFonts w:cs="Tahoma"/>
                <w:szCs w:val="22"/>
              </w:rPr>
              <w:t>F</w:t>
            </w:r>
            <w:r w:rsidRPr="00BE0CC6">
              <w:rPr>
                <w:rFonts w:cs="Tahoma"/>
                <w:szCs w:val="22"/>
              </w:rPr>
              <w:t>B</w:t>
            </w:r>
            <w:r>
              <w:rPr>
                <w:rFonts w:cs="Tahoma"/>
                <w:szCs w:val="22"/>
              </w:rPr>
              <w:t>&amp;E</w:t>
            </w:r>
            <w:r w:rsidRPr="00BE0CC6">
              <w:rPr>
                <w:rFonts w:cs="Tahoma"/>
                <w:szCs w:val="22"/>
              </w:rPr>
              <w:t>P/Revenue Stakeholders</w:t>
            </w:r>
            <w:r w:rsidR="00141942">
              <w:rPr>
                <w:rFonts w:cs="Tahoma"/>
                <w:szCs w:val="22"/>
              </w:rPr>
              <w:t>/CSO</w:t>
            </w:r>
          </w:p>
        </w:tc>
        <w:tc>
          <w:tcPr>
            <w:tcW w:w="1846" w:type="dxa"/>
          </w:tcPr>
          <w:p w:rsidR="007A2219" w:rsidRPr="00BE0CC6" w:rsidRDefault="007A2219" w:rsidP="007A2219">
            <w:pPr>
              <w:spacing w:after="0"/>
              <w:jc w:val="both"/>
              <w:rPr>
                <w:rFonts w:cs="Tahoma"/>
                <w:szCs w:val="22"/>
              </w:rPr>
            </w:pPr>
            <w:r w:rsidRPr="00BE0CC6">
              <w:rPr>
                <w:rFonts w:cs="Tahoma"/>
                <w:szCs w:val="22"/>
              </w:rPr>
              <w:t xml:space="preserve">Director </w:t>
            </w:r>
            <w:r>
              <w:rPr>
                <w:rFonts w:cs="Tahoma"/>
                <w:szCs w:val="22"/>
              </w:rPr>
              <w:t>Budget</w:t>
            </w:r>
          </w:p>
        </w:tc>
      </w:tr>
      <w:tr w:rsidR="007A2219" w:rsidTr="00CF2199">
        <w:trPr>
          <w:trHeight w:val="20"/>
        </w:trPr>
        <w:tc>
          <w:tcPr>
            <w:tcW w:w="620" w:type="dxa"/>
            <w:vMerge/>
          </w:tcPr>
          <w:p w:rsidR="007A2219" w:rsidRPr="00BE0CC6" w:rsidRDefault="007A2219" w:rsidP="007A2219">
            <w:pPr>
              <w:spacing w:after="0"/>
              <w:jc w:val="both"/>
              <w:rPr>
                <w:rFonts w:cs="Tahoma"/>
                <w:szCs w:val="22"/>
              </w:rPr>
            </w:pPr>
          </w:p>
        </w:tc>
        <w:tc>
          <w:tcPr>
            <w:tcW w:w="1738" w:type="dxa"/>
            <w:vMerge/>
          </w:tcPr>
          <w:p w:rsidR="007A2219" w:rsidRPr="00BE0CC6" w:rsidRDefault="007A2219" w:rsidP="007A2219">
            <w:pPr>
              <w:spacing w:after="0"/>
              <w:jc w:val="both"/>
              <w:rPr>
                <w:rFonts w:cs="Tahoma"/>
                <w:szCs w:val="22"/>
              </w:rPr>
            </w:pPr>
          </w:p>
        </w:tc>
        <w:tc>
          <w:tcPr>
            <w:tcW w:w="2982" w:type="dxa"/>
          </w:tcPr>
          <w:p w:rsidR="007A2219" w:rsidRPr="00BE0CC6" w:rsidRDefault="00141942" w:rsidP="007A2219">
            <w:pPr>
              <w:spacing w:after="0"/>
              <w:jc w:val="both"/>
              <w:rPr>
                <w:rFonts w:cs="Tahoma"/>
                <w:szCs w:val="22"/>
              </w:rPr>
            </w:pPr>
            <w:r>
              <w:rPr>
                <w:rFonts w:cs="Tahoma"/>
                <w:szCs w:val="22"/>
              </w:rPr>
              <w:t>(d) Presentation of Year 2022</w:t>
            </w:r>
            <w:r w:rsidR="007A2219" w:rsidRPr="00BE0CC6">
              <w:rPr>
                <w:rFonts w:cs="Tahoma"/>
                <w:szCs w:val="22"/>
              </w:rPr>
              <w:t>–20</w:t>
            </w:r>
            <w:r>
              <w:rPr>
                <w:rFonts w:cs="Tahoma"/>
                <w:szCs w:val="22"/>
              </w:rPr>
              <w:t>24</w:t>
            </w:r>
            <w:r w:rsidR="007A2219">
              <w:rPr>
                <w:rFonts w:cs="Tahoma"/>
                <w:szCs w:val="22"/>
              </w:rPr>
              <w:t xml:space="preserve"> </w:t>
            </w:r>
            <w:r w:rsidR="007A2219" w:rsidRPr="00BE0CC6">
              <w:rPr>
                <w:rFonts w:cs="Tahoma"/>
                <w:szCs w:val="22"/>
              </w:rPr>
              <w:t>MYBF to EXCO</w:t>
            </w:r>
          </w:p>
        </w:tc>
        <w:tc>
          <w:tcPr>
            <w:tcW w:w="1369" w:type="dxa"/>
          </w:tcPr>
          <w:p w:rsidR="007A2219" w:rsidRPr="00BE0CC6" w:rsidRDefault="007A2219" w:rsidP="007A2219">
            <w:pPr>
              <w:spacing w:after="0"/>
              <w:jc w:val="both"/>
              <w:rPr>
                <w:rFonts w:cs="Tahoma"/>
                <w:szCs w:val="22"/>
              </w:rPr>
            </w:pPr>
            <w:r w:rsidRPr="00BE0CC6">
              <w:rPr>
                <w:rFonts w:cs="Tahoma"/>
                <w:szCs w:val="22"/>
              </w:rPr>
              <w:t>June</w:t>
            </w:r>
            <w:r>
              <w:rPr>
                <w:rFonts w:cs="Tahoma"/>
                <w:szCs w:val="22"/>
              </w:rPr>
              <w:t xml:space="preserve"> 2021</w:t>
            </w:r>
          </w:p>
        </w:tc>
        <w:tc>
          <w:tcPr>
            <w:tcW w:w="1931" w:type="dxa"/>
          </w:tcPr>
          <w:p w:rsidR="007A2219" w:rsidRPr="00BE0CC6" w:rsidRDefault="007A2219" w:rsidP="007A2219">
            <w:pPr>
              <w:spacing w:after="0"/>
              <w:jc w:val="both"/>
              <w:rPr>
                <w:rFonts w:cs="Tahoma"/>
                <w:szCs w:val="22"/>
              </w:rPr>
            </w:pPr>
            <w:r w:rsidRPr="00BE0CC6">
              <w:rPr>
                <w:rFonts w:cs="Tahoma"/>
                <w:szCs w:val="22"/>
              </w:rPr>
              <w:t>M</w:t>
            </w:r>
            <w:r>
              <w:rPr>
                <w:rFonts w:cs="Tahoma"/>
                <w:szCs w:val="22"/>
              </w:rPr>
              <w:t>F</w:t>
            </w:r>
            <w:r w:rsidRPr="00BE0CC6">
              <w:rPr>
                <w:rFonts w:cs="Tahoma"/>
                <w:szCs w:val="22"/>
              </w:rPr>
              <w:t>B</w:t>
            </w:r>
            <w:r>
              <w:rPr>
                <w:rFonts w:cs="Tahoma"/>
                <w:szCs w:val="22"/>
              </w:rPr>
              <w:t>&amp;E</w:t>
            </w:r>
            <w:r w:rsidRPr="00BE0CC6">
              <w:rPr>
                <w:rFonts w:cs="Tahoma"/>
                <w:szCs w:val="22"/>
              </w:rPr>
              <w:t>P, MDAs &amp; EXCO</w:t>
            </w:r>
          </w:p>
        </w:tc>
        <w:tc>
          <w:tcPr>
            <w:tcW w:w="1846" w:type="dxa"/>
          </w:tcPr>
          <w:p w:rsidR="007A2219" w:rsidRPr="00BE0CC6" w:rsidRDefault="007A2219" w:rsidP="007A2219">
            <w:pPr>
              <w:spacing w:after="0"/>
              <w:jc w:val="both"/>
              <w:rPr>
                <w:rFonts w:cs="Tahoma"/>
                <w:szCs w:val="22"/>
              </w:rPr>
            </w:pPr>
            <w:r w:rsidRPr="00BE0CC6">
              <w:rPr>
                <w:rFonts w:cs="Tahoma"/>
                <w:szCs w:val="22"/>
              </w:rPr>
              <w:t>HC M</w:t>
            </w:r>
            <w:r>
              <w:rPr>
                <w:rFonts w:cs="Tahoma"/>
                <w:szCs w:val="22"/>
              </w:rPr>
              <w:t>F</w:t>
            </w:r>
            <w:r w:rsidRPr="00BE0CC6">
              <w:rPr>
                <w:rFonts w:cs="Tahoma"/>
                <w:szCs w:val="22"/>
              </w:rPr>
              <w:t>B</w:t>
            </w:r>
            <w:r>
              <w:rPr>
                <w:rFonts w:cs="Tahoma"/>
                <w:szCs w:val="22"/>
              </w:rPr>
              <w:t>&amp;E</w:t>
            </w:r>
            <w:r w:rsidRPr="00BE0CC6">
              <w:rPr>
                <w:rFonts w:cs="Tahoma"/>
                <w:szCs w:val="22"/>
              </w:rPr>
              <w:t>P</w:t>
            </w:r>
          </w:p>
        </w:tc>
      </w:tr>
      <w:tr w:rsidR="007A2219" w:rsidTr="00CF2199">
        <w:trPr>
          <w:trHeight w:val="20"/>
        </w:trPr>
        <w:tc>
          <w:tcPr>
            <w:tcW w:w="620" w:type="dxa"/>
            <w:vMerge/>
          </w:tcPr>
          <w:p w:rsidR="007A2219" w:rsidRPr="00BE0CC6" w:rsidRDefault="007A2219" w:rsidP="007A2219">
            <w:pPr>
              <w:spacing w:after="0"/>
              <w:jc w:val="both"/>
              <w:rPr>
                <w:rFonts w:cs="Tahoma"/>
                <w:szCs w:val="22"/>
              </w:rPr>
            </w:pPr>
          </w:p>
        </w:tc>
        <w:tc>
          <w:tcPr>
            <w:tcW w:w="1738" w:type="dxa"/>
            <w:vMerge/>
          </w:tcPr>
          <w:p w:rsidR="007A2219" w:rsidRPr="00BE0CC6" w:rsidRDefault="007A2219" w:rsidP="007A2219">
            <w:pPr>
              <w:spacing w:after="0"/>
              <w:jc w:val="both"/>
              <w:rPr>
                <w:rFonts w:cs="Tahoma"/>
                <w:szCs w:val="22"/>
              </w:rPr>
            </w:pPr>
          </w:p>
        </w:tc>
        <w:tc>
          <w:tcPr>
            <w:tcW w:w="2982" w:type="dxa"/>
          </w:tcPr>
          <w:p w:rsidR="007A2219" w:rsidRPr="00BE0CC6" w:rsidRDefault="007A2219" w:rsidP="007A2219">
            <w:pPr>
              <w:spacing w:after="0"/>
              <w:jc w:val="both"/>
              <w:rPr>
                <w:rFonts w:cs="Tahoma"/>
                <w:szCs w:val="22"/>
              </w:rPr>
            </w:pPr>
            <w:r>
              <w:rPr>
                <w:rFonts w:cs="Tahoma"/>
                <w:szCs w:val="22"/>
              </w:rPr>
              <w:t>(e</w:t>
            </w:r>
            <w:r w:rsidR="00141942">
              <w:rPr>
                <w:rFonts w:cs="Tahoma"/>
                <w:szCs w:val="22"/>
              </w:rPr>
              <w:t>) Forwarding of MTE</w:t>
            </w:r>
            <w:r w:rsidRPr="00BE0CC6">
              <w:rPr>
                <w:rFonts w:cs="Tahoma"/>
                <w:szCs w:val="22"/>
              </w:rPr>
              <w:t xml:space="preserve">F draft to the SHoA for </w:t>
            </w:r>
            <w:r w:rsidRPr="00BE0CC6">
              <w:rPr>
                <w:rFonts w:cs="Tahoma"/>
                <w:szCs w:val="22"/>
              </w:rPr>
              <w:lastRenderedPageBreak/>
              <w:t>modifications (if any) and approval.</w:t>
            </w:r>
          </w:p>
        </w:tc>
        <w:tc>
          <w:tcPr>
            <w:tcW w:w="1369" w:type="dxa"/>
          </w:tcPr>
          <w:p w:rsidR="007A2219" w:rsidRPr="00BE0CC6" w:rsidRDefault="007A2219" w:rsidP="007A2219">
            <w:pPr>
              <w:spacing w:after="0"/>
              <w:jc w:val="both"/>
              <w:rPr>
                <w:rFonts w:cs="Tahoma"/>
                <w:szCs w:val="22"/>
              </w:rPr>
            </w:pPr>
            <w:r w:rsidRPr="00BE0CC6">
              <w:rPr>
                <w:rFonts w:cs="Tahoma"/>
                <w:szCs w:val="22"/>
              </w:rPr>
              <w:lastRenderedPageBreak/>
              <w:t>June</w:t>
            </w:r>
            <w:r>
              <w:rPr>
                <w:rFonts w:cs="Tahoma"/>
                <w:szCs w:val="22"/>
              </w:rPr>
              <w:t xml:space="preserve"> 2021</w:t>
            </w:r>
          </w:p>
        </w:tc>
        <w:tc>
          <w:tcPr>
            <w:tcW w:w="1931" w:type="dxa"/>
          </w:tcPr>
          <w:p w:rsidR="007A2219" w:rsidRPr="00BE0CC6" w:rsidRDefault="007A2219" w:rsidP="007A2219">
            <w:pPr>
              <w:spacing w:after="0"/>
              <w:jc w:val="both"/>
              <w:rPr>
                <w:rFonts w:cs="Tahoma"/>
                <w:szCs w:val="22"/>
              </w:rPr>
            </w:pPr>
            <w:r>
              <w:rPr>
                <w:rFonts w:cs="Tahoma"/>
                <w:szCs w:val="22"/>
              </w:rPr>
              <w:t>MFB&amp;EP</w:t>
            </w:r>
            <w:r w:rsidRPr="00BE0CC6">
              <w:rPr>
                <w:rFonts w:cs="Tahoma"/>
                <w:szCs w:val="22"/>
              </w:rPr>
              <w:t>/SHoA</w:t>
            </w:r>
          </w:p>
        </w:tc>
        <w:tc>
          <w:tcPr>
            <w:tcW w:w="1846" w:type="dxa"/>
          </w:tcPr>
          <w:p w:rsidR="007A2219" w:rsidRPr="00BE0CC6" w:rsidRDefault="007A2219" w:rsidP="007A2219">
            <w:pPr>
              <w:spacing w:after="0"/>
              <w:jc w:val="both"/>
              <w:rPr>
                <w:rFonts w:cs="Tahoma"/>
                <w:szCs w:val="22"/>
              </w:rPr>
            </w:pPr>
            <w:r w:rsidRPr="00BE0CC6">
              <w:rPr>
                <w:rFonts w:cs="Tahoma"/>
                <w:szCs w:val="22"/>
              </w:rPr>
              <w:t xml:space="preserve">HC </w:t>
            </w:r>
            <w:r>
              <w:rPr>
                <w:rFonts w:cs="Tahoma"/>
                <w:szCs w:val="22"/>
              </w:rPr>
              <w:t>MFB&amp;EP</w:t>
            </w:r>
          </w:p>
        </w:tc>
      </w:tr>
      <w:tr w:rsidR="007A2219" w:rsidTr="007A2219">
        <w:trPr>
          <w:trHeight w:val="620"/>
        </w:trPr>
        <w:tc>
          <w:tcPr>
            <w:tcW w:w="620" w:type="dxa"/>
            <w:vMerge/>
          </w:tcPr>
          <w:p w:rsidR="007A2219" w:rsidRPr="00BE0CC6" w:rsidRDefault="007A2219" w:rsidP="007A2219">
            <w:pPr>
              <w:spacing w:after="0"/>
              <w:jc w:val="both"/>
              <w:rPr>
                <w:rFonts w:cs="Tahoma"/>
                <w:szCs w:val="22"/>
              </w:rPr>
            </w:pPr>
          </w:p>
        </w:tc>
        <w:tc>
          <w:tcPr>
            <w:tcW w:w="1738" w:type="dxa"/>
            <w:vMerge/>
          </w:tcPr>
          <w:p w:rsidR="007A2219" w:rsidRPr="00BE0CC6" w:rsidRDefault="007A2219" w:rsidP="007A2219">
            <w:pPr>
              <w:spacing w:after="0"/>
              <w:jc w:val="both"/>
              <w:rPr>
                <w:rFonts w:cs="Tahoma"/>
                <w:szCs w:val="22"/>
              </w:rPr>
            </w:pPr>
          </w:p>
        </w:tc>
        <w:tc>
          <w:tcPr>
            <w:tcW w:w="2982" w:type="dxa"/>
          </w:tcPr>
          <w:p w:rsidR="007A2219" w:rsidRPr="00BE0CC6" w:rsidRDefault="007A2219" w:rsidP="007A2219">
            <w:pPr>
              <w:spacing w:after="0"/>
              <w:jc w:val="both"/>
              <w:rPr>
                <w:rFonts w:cs="Tahoma"/>
                <w:szCs w:val="22"/>
              </w:rPr>
            </w:pPr>
            <w:r>
              <w:rPr>
                <w:rFonts w:cs="Tahoma"/>
                <w:szCs w:val="22"/>
              </w:rPr>
              <w:t>(f</w:t>
            </w:r>
            <w:r w:rsidRPr="00BE0CC6">
              <w:rPr>
                <w:rFonts w:cs="Tahoma"/>
                <w:szCs w:val="22"/>
              </w:rPr>
              <w:t>) Budget Retreat for MDAs</w:t>
            </w:r>
          </w:p>
        </w:tc>
        <w:tc>
          <w:tcPr>
            <w:tcW w:w="1369" w:type="dxa"/>
          </w:tcPr>
          <w:p w:rsidR="007A2219" w:rsidRPr="00BE0CC6" w:rsidRDefault="007A2219" w:rsidP="007A2219">
            <w:pPr>
              <w:spacing w:after="0"/>
              <w:jc w:val="both"/>
              <w:rPr>
                <w:rFonts w:cs="Tahoma"/>
                <w:szCs w:val="22"/>
              </w:rPr>
            </w:pPr>
            <w:r w:rsidRPr="00BE0CC6">
              <w:rPr>
                <w:rFonts w:cs="Tahoma"/>
                <w:szCs w:val="22"/>
              </w:rPr>
              <w:t>June</w:t>
            </w:r>
            <w:r>
              <w:rPr>
                <w:rFonts w:cs="Tahoma"/>
                <w:szCs w:val="22"/>
              </w:rPr>
              <w:t xml:space="preserve"> 2021</w:t>
            </w:r>
          </w:p>
        </w:tc>
        <w:tc>
          <w:tcPr>
            <w:tcW w:w="1931" w:type="dxa"/>
          </w:tcPr>
          <w:p w:rsidR="007A2219" w:rsidRPr="00BE0CC6" w:rsidRDefault="007A2219" w:rsidP="007A2219">
            <w:pPr>
              <w:spacing w:after="0"/>
              <w:jc w:val="both"/>
              <w:rPr>
                <w:rFonts w:cs="Tahoma"/>
                <w:szCs w:val="22"/>
              </w:rPr>
            </w:pPr>
            <w:r>
              <w:rPr>
                <w:rFonts w:cs="Tahoma"/>
                <w:szCs w:val="22"/>
              </w:rPr>
              <w:t>MFB&amp;EP</w:t>
            </w:r>
            <w:r w:rsidRPr="00BE0CC6">
              <w:rPr>
                <w:rFonts w:cs="Tahoma"/>
                <w:szCs w:val="22"/>
              </w:rPr>
              <w:t>/MDAs</w:t>
            </w:r>
          </w:p>
        </w:tc>
        <w:tc>
          <w:tcPr>
            <w:tcW w:w="1846" w:type="dxa"/>
          </w:tcPr>
          <w:p w:rsidR="007A2219" w:rsidRPr="00BE0CC6" w:rsidRDefault="007A2219" w:rsidP="007A2219">
            <w:pPr>
              <w:spacing w:after="0"/>
              <w:jc w:val="both"/>
              <w:rPr>
                <w:rFonts w:cs="Tahoma"/>
                <w:szCs w:val="22"/>
              </w:rPr>
            </w:pPr>
            <w:r w:rsidRPr="00BE0CC6">
              <w:rPr>
                <w:rFonts w:cs="Tahoma"/>
                <w:szCs w:val="22"/>
              </w:rPr>
              <w:t>Director Budget.</w:t>
            </w:r>
          </w:p>
        </w:tc>
      </w:tr>
      <w:tr w:rsidR="007A2219" w:rsidTr="00CF2199">
        <w:trPr>
          <w:trHeight w:val="20"/>
        </w:trPr>
        <w:tc>
          <w:tcPr>
            <w:tcW w:w="620" w:type="dxa"/>
            <w:vMerge w:val="restart"/>
          </w:tcPr>
          <w:p w:rsidR="007A2219" w:rsidRPr="00BE0CC6" w:rsidRDefault="007A2219" w:rsidP="007A2219">
            <w:pPr>
              <w:spacing w:after="0"/>
              <w:jc w:val="both"/>
              <w:rPr>
                <w:rFonts w:cs="Tahoma"/>
                <w:szCs w:val="22"/>
              </w:rPr>
            </w:pPr>
            <w:r w:rsidRPr="00BE0CC6">
              <w:rPr>
                <w:rFonts w:cs="Tahoma"/>
                <w:szCs w:val="22"/>
              </w:rPr>
              <w:t>2</w:t>
            </w:r>
          </w:p>
        </w:tc>
        <w:tc>
          <w:tcPr>
            <w:tcW w:w="1738" w:type="dxa"/>
            <w:vMerge w:val="restart"/>
          </w:tcPr>
          <w:p w:rsidR="007A2219" w:rsidRPr="00BE0CC6" w:rsidRDefault="007A2219" w:rsidP="007A2219">
            <w:pPr>
              <w:spacing w:after="0"/>
              <w:jc w:val="both"/>
              <w:rPr>
                <w:rFonts w:cs="Tahoma"/>
                <w:szCs w:val="22"/>
              </w:rPr>
            </w:pPr>
            <w:r>
              <w:rPr>
                <w:rFonts w:cs="Tahoma"/>
                <w:szCs w:val="22"/>
              </w:rPr>
              <w:t>Y2021</w:t>
            </w:r>
            <w:r w:rsidRPr="00BE0CC6">
              <w:rPr>
                <w:rFonts w:cs="Tahoma"/>
                <w:szCs w:val="22"/>
              </w:rPr>
              <w:t xml:space="preserve"> (Current Year) Budget Monitoring &amp; Appraisal.</w:t>
            </w:r>
          </w:p>
        </w:tc>
        <w:tc>
          <w:tcPr>
            <w:tcW w:w="2982" w:type="dxa"/>
          </w:tcPr>
          <w:p w:rsidR="007A2219" w:rsidRPr="00BE0CC6" w:rsidRDefault="007A2219" w:rsidP="007A2219">
            <w:pPr>
              <w:spacing w:after="0"/>
              <w:jc w:val="both"/>
              <w:rPr>
                <w:rFonts w:cs="Tahoma"/>
                <w:szCs w:val="22"/>
              </w:rPr>
            </w:pPr>
            <w:r>
              <w:rPr>
                <w:rFonts w:cs="Tahoma"/>
                <w:szCs w:val="22"/>
              </w:rPr>
              <w:t>(a) 1st Quarter Year 2021</w:t>
            </w:r>
            <w:r w:rsidRPr="00BE0CC6">
              <w:rPr>
                <w:rFonts w:cs="Tahoma"/>
                <w:szCs w:val="22"/>
              </w:rPr>
              <w:t xml:space="preserve"> Budget Performance Appraisal</w:t>
            </w:r>
          </w:p>
        </w:tc>
        <w:tc>
          <w:tcPr>
            <w:tcW w:w="1369" w:type="dxa"/>
          </w:tcPr>
          <w:p w:rsidR="007A2219" w:rsidRPr="00BE0CC6" w:rsidRDefault="007A2219" w:rsidP="007A2219">
            <w:pPr>
              <w:spacing w:after="0"/>
              <w:jc w:val="both"/>
              <w:rPr>
                <w:rFonts w:cs="Tahoma"/>
                <w:szCs w:val="22"/>
              </w:rPr>
            </w:pPr>
            <w:r>
              <w:rPr>
                <w:rFonts w:cs="Tahoma"/>
                <w:szCs w:val="22"/>
              </w:rPr>
              <w:t>28</w:t>
            </w:r>
            <w:r w:rsidRPr="00BE0CC6">
              <w:rPr>
                <w:rFonts w:cs="Tahoma"/>
                <w:szCs w:val="22"/>
              </w:rPr>
              <w:t>th April</w:t>
            </w:r>
            <w:r>
              <w:rPr>
                <w:rFonts w:cs="Tahoma"/>
                <w:szCs w:val="22"/>
              </w:rPr>
              <w:t xml:space="preserve"> 2021</w:t>
            </w:r>
          </w:p>
        </w:tc>
        <w:tc>
          <w:tcPr>
            <w:tcW w:w="1931" w:type="dxa"/>
          </w:tcPr>
          <w:p w:rsidR="007A2219" w:rsidRPr="00BE0CC6" w:rsidRDefault="007A2219" w:rsidP="007A2219">
            <w:pPr>
              <w:spacing w:after="0"/>
              <w:jc w:val="both"/>
              <w:rPr>
                <w:rFonts w:cs="Tahoma"/>
                <w:szCs w:val="22"/>
              </w:rPr>
            </w:pPr>
            <w:r>
              <w:rPr>
                <w:rFonts w:cs="Tahoma"/>
                <w:szCs w:val="22"/>
              </w:rPr>
              <w:t>MFB&amp;EP(DOB, DOP(M), DOP(SS)</w:t>
            </w:r>
            <w:r w:rsidRPr="00BE0CC6">
              <w:rPr>
                <w:rFonts w:cs="Tahoma"/>
                <w:szCs w:val="22"/>
              </w:rPr>
              <w:t>/MDAs</w:t>
            </w:r>
          </w:p>
        </w:tc>
        <w:tc>
          <w:tcPr>
            <w:tcW w:w="1846" w:type="dxa"/>
          </w:tcPr>
          <w:p w:rsidR="007A2219" w:rsidRPr="00BE0CC6" w:rsidRDefault="007A2219" w:rsidP="007A2219">
            <w:pPr>
              <w:spacing w:after="0"/>
              <w:jc w:val="both"/>
              <w:rPr>
                <w:rFonts w:cs="Tahoma"/>
                <w:szCs w:val="22"/>
              </w:rPr>
            </w:pPr>
            <w:r w:rsidRPr="00BE0CC6">
              <w:rPr>
                <w:rFonts w:cs="Tahoma"/>
                <w:szCs w:val="22"/>
              </w:rPr>
              <w:t>Hon. Commissioners/Other Heads of MDAs</w:t>
            </w:r>
          </w:p>
        </w:tc>
      </w:tr>
      <w:tr w:rsidR="007A2219" w:rsidTr="00CF2199">
        <w:trPr>
          <w:trHeight w:val="20"/>
        </w:trPr>
        <w:tc>
          <w:tcPr>
            <w:tcW w:w="620" w:type="dxa"/>
            <w:vMerge/>
          </w:tcPr>
          <w:p w:rsidR="007A2219" w:rsidRPr="00BE0CC6" w:rsidRDefault="007A2219" w:rsidP="007A2219">
            <w:pPr>
              <w:spacing w:after="0"/>
              <w:jc w:val="both"/>
              <w:rPr>
                <w:rFonts w:cs="Tahoma"/>
                <w:szCs w:val="22"/>
              </w:rPr>
            </w:pPr>
          </w:p>
        </w:tc>
        <w:tc>
          <w:tcPr>
            <w:tcW w:w="1738" w:type="dxa"/>
            <w:vMerge/>
          </w:tcPr>
          <w:p w:rsidR="007A2219" w:rsidRPr="00BE0CC6" w:rsidRDefault="007A2219" w:rsidP="007A2219">
            <w:pPr>
              <w:spacing w:after="0"/>
              <w:jc w:val="both"/>
              <w:rPr>
                <w:rFonts w:cs="Tahoma"/>
                <w:szCs w:val="22"/>
              </w:rPr>
            </w:pPr>
          </w:p>
        </w:tc>
        <w:tc>
          <w:tcPr>
            <w:tcW w:w="2982" w:type="dxa"/>
          </w:tcPr>
          <w:p w:rsidR="007A2219" w:rsidRPr="00BE0CC6" w:rsidRDefault="007A2219" w:rsidP="007A2219">
            <w:pPr>
              <w:spacing w:after="0"/>
              <w:jc w:val="both"/>
              <w:rPr>
                <w:rFonts w:cs="Tahoma"/>
                <w:szCs w:val="22"/>
              </w:rPr>
            </w:pPr>
            <w:r w:rsidRPr="00BE0CC6">
              <w:rPr>
                <w:rFonts w:cs="Tahoma"/>
                <w:szCs w:val="22"/>
              </w:rPr>
              <w:t>(b) 2nd</w:t>
            </w:r>
            <w:r>
              <w:rPr>
                <w:rFonts w:cs="Tahoma"/>
                <w:szCs w:val="22"/>
              </w:rPr>
              <w:t xml:space="preserve"> Quarter/Mid-Year Review of 2021</w:t>
            </w:r>
            <w:r w:rsidRPr="00BE0CC6">
              <w:rPr>
                <w:rFonts w:cs="Tahoma"/>
                <w:szCs w:val="22"/>
              </w:rPr>
              <w:t xml:space="preserve"> Budget Performance</w:t>
            </w:r>
          </w:p>
        </w:tc>
        <w:tc>
          <w:tcPr>
            <w:tcW w:w="1369" w:type="dxa"/>
          </w:tcPr>
          <w:p w:rsidR="007A2219" w:rsidRPr="00BE0CC6" w:rsidRDefault="007A2219" w:rsidP="007A2219">
            <w:pPr>
              <w:spacing w:after="0"/>
              <w:jc w:val="both"/>
              <w:rPr>
                <w:rFonts w:cs="Tahoma"/>
                <w:szCs w:val="22"/>
              </w:rPr>
            </w:pPr>
            <w:r>
              <w:rPr>
                <w:rFonts w:cs="Tahoma"/>
                <w:szCs w:val="22"/>
              </w:rPr>
              <w:t>28</w:t>
            </w:r>
            <w:r w:rsidRPr="00BE0CC6">
              <w:rPr>
                <w:rFonts w:cs="Tahoma"/>
                <w:szCs w:val="22"/>
              </w:rPr>
              <w:t>th July</w:t>
            </w:r>
            <w:r>
              <w:rPr>
                <w:rFonts w:cs="Tahoma"/>
                <w:szCs w:val="22"/>
              </w:rPr>
              <w:t>, 2021</w:t>
            </w:r>
          </w:p>
        </w:tc>
        <w:tc>
          <w:tcPr>
            <w:tcW w:w="1931" w:type="dxa"/>
          </w:tcPr>
          <w:p w:rsidR="007A2219" w:rsidRPr="00BE0CC6" w:rsidRDefault="007A2219" w:rsidP="007A2219">
            <w:pPr>
              <w:spacing w:after="0"/>
              <w:jc w:val="both"/>
              <w:rPr>
                <w:rFonts w:cs="Tahoma"/>
                <w:szCs w:val="22"/>
              </w:rPr>
            </w:pPr>
            <w:r w:rsidRPr="00BE0CC6">
              <w:rPr>
                <w:rFonts w:cs="Tahoma"/>
                <w:szCs w:val="22"/>
              </w:rPr>
              <w:t>M</w:t>
            </w:r>
            <w:r>
              <w:rPr>
                <w:rFonts w:cs="Tahoma"/>
                <w:szCs w:val="22"/>
              </w:rPr>
              <w:t>F</w:t>
            </w:r>
            <w:r w:rsidRPr="00BE0CC6">
              <w:rPr>
                <w:rFonts w:cs="Tahoma"/>
                <w:szCs w:val="22"/>
              </w:rPr>
              <w:t>B</w:t>
            </w:r>
            <w:r>
              <w:rPr>
                <w:rFonts w:cs="Tahoma"/>
                <w:szCs w:val="22"/>
              </w:rPr>
              <w:t>&amp;E</w:t>
            </w:r>
            <w:r w:rsidRPr="00BE0CC6">
              <w:rPr>
                <w:rFonts w:cs="Tahoma"/>
                <w:szCs w:val="22"/>
              </w:rPr>
              <w:t>P(DOB, DO</w:t>
            </w:r>
            <w:r>
              <w:rPr>
                <w:rFonts w:cs="Tahoma"/>
                <w:szCs w:val="22"/>
              </w:rPr>
              <w:t>P(M), DOP(SS))</w:t>
            </w:r>
            <w:r w:rsidRPr="00BE0CC6">
              <w:rPr>
                <w:rFonts w:cs="Tahoma"/>
                <w:szCs w:val="22"/>
              </w:rPr>
              <w:t>/MDAs</w:t>
            </w:r>
          </w:p>
        </w:tc>
        <w:tc>
          <w:tcPr>
            <w:tcW w:w="1846" w:type="dxa"/>
          </w:tcPr>
          <w:p w:rsidR="007A2219" w:rsidRPr="00BE0CC6" w:rsidRDefault="007A2219" w:rsidP="007A2219">
            <w:pPr>
              <w:spacing w:after="0"/>
              <w:jc w:val="both"/>
              <w:rPr>
                <w:rFonts w:cs="Tahoma"/>
                <w:szCs w:val="22"/>
              </w:rPr>
            </w:pPr>
            <w:r w:rsidRPr="00BE0CC6">
              <w:rPr>
                <w:rFonts w:cs="Tahoma"/>
                <w:szCs w:val="22"/>
              </w:rPr>
              <w:t>Hon. Commissioners/Other Heads of MDAs</w:t>
            </w:r>
          </w:p>
        </w:tc>
      </w:tr>
      <w:tr w:rsidR="007A2219" w:rsidTr="00CF2199">
        <w:trPr>
          <w:trHeight w:val="20"/>
        </w:trPr>
        <w:tc>
          <w:tcPr>
            <w:tcW w:w="620" w:type="dxa"/>
            <w:vMerge/>
          </w:tcPr>
          <w:p w:rsidR="007A2219" w:rsidRPr="00BE0CC6" w:rsidRDefault="007A2219" w:rsidP="007A2219">
            <w:pPr>
              <w:spacing w:after="0"/>
              <w:jc w:val="both"/>
              <w:rPr>
                <w:rFonts w:cs="Tahoma"/>
                <w:szCs w:val="22"/>
              </w:rPr>
            </w:pPr>
          </w:p>
        </w:tc>
        <w:tc>
          <w:tcPr>
            <w:tcW w:w="1738" w:type="dxa"/>
            <w:vMerge/>
          </w:tcPr>
          <w:p w:rsidR="007A2219" w:rsidRPr="00BE0CC6" w:rsidRDefault="007A2219" w:rsidP="007A2219">
            <w:pPr>
              <w:spacing w:after="0"/>
              <w:jc w:val="both"/>
              <w:rPr>
                <w:rFonts w:cs="Tahoma"/>
                <w:szCs w:val="22"/>
              </w:rPr>
            </w:pPr>
          </w:p>
        </w:tc>
        <w:tc>
          <w:tcPr>
            <w:tcW w:w="2982" w:type="dxa"/>
          </w:tcPr>
          <w:p w:rsidR="007A2219" w:rsidRPr="00BE0CC6" w:rsidRDefault="007A2219" w:rsidP="007A2219">
            <w:pPr>
              <w:spacing w:after="0"/>
              <w:jc w:val="both"/>
              <w:rPr>
                <w:rFonts w:cs="Tahoma"/>
                <w:szCs w:val="22"/>
              </w:rPr>
            </w:pPr>
            <w:r>
              <w:rPr>
                <w:rFonts w:cs="Tahoma"/>
                <w:szCs w:val="22"/>
              </w:rPr>
              <w:t>(c) 3rd Quarter Year 2021</w:t>
            </w:r>
            <w:r w:rsidRPr="00BE0CC6">
              <w:rPr>
                <w:rFonts w:cs="Tahoma"/>
                <w:szCs w:val="22"/>
              </w:rPr>
              <w:t xml:space="preserve"> Budget Performance Appraisal</w:t>
            </w:r>
          </w:p>
        </w:tc>
        <w:tc>
          <w:tcPr>
            <w:tcW w:w="1369" w:type="dxa"/>
          </w:tcPr>
          <w:p w:rsidR="007A2219" w:rsidRPr="00BE0CC6" w:rsidRDefault="007A2219" w:rsidP="007A2219">
            <w:pPr>
              <w:spacing w:after="0"/>
              <w:jc w:val="both"/>
              <w:rPr>
                <w:rFonts w:cs="Tahoma"/>
                <w:szCs w:val="22"/>
              </w:rPr>
            </w:pPr>
            <w:r>
              <w:rPr>
                <w:rFonts w:cs="Tahoma"/>
                <w:szCs w:val="22"/>
              </w:rPr>
              <w:t>28</w:t>
            </w:r>
            <w:r w:rsidRPr="00BE0CC6">
              <w:rPr>
                <w:rFonts w:cs="Tahoma"/>
                <w:szCs w:val="22"/>
              </w:rPr>
              <w:t>th Oct</w:t>
            </w:r>
            <w:r>
              <w:rPr>
                <w:rFonts w:cs="Tahoma"/>
                <w:szCs w:val="22"/>
              </w:rPr>
              <w:t>. 2021</w:t>
            </w:r>
          </w:p>
        </w:tc>
        <w:tc>
          <w:tcPr>
            <w:tcW w:w="1931" w:type="dxa"/>
          </w:tcPr>
          <w:p w:rsidR="007A2219" w:rsidRPr="00BE0CC6" w:rsidRDefault="007A2219" w:rsidP="007A2219">
            <w:pPr>
              <w:spacing w:after="0"/>
              <w:jc w:val="both"/>
              <w:rPr>
                <w:rFonts w:cs="Tahoma"/>
                <w:szCs w:val="22"/>
              </w:rPr>
            </w:pPr>
            <w:r>
              <w:rPr>
                <w:rFonts w:cs="Tahoma"/>
                <w:szCs w:val="22"/>
              </w:rPr>
              <w:t>MFB&amp;EP(DOB, DOP(M), DOP(SS)</w:t>
            </w:r>
            <w:r w:rsidRPr="00BE0CC6">
              <w:rPr>
                <w:rFonts w:cs="Tahoma"/>
                <w:szCs w:val="22"/>
              </w:rPr>
              <w:t>/MDAs</w:t>
            </w:r>
          </w:p>
        </w:tc>
        <w:tc>
          <w:tcPr>
            <w:tcW w:w="1846" w:type="dxa"/>
          </w:tcPr>
          <w:p w:rsidR="007A2219" w:rsidRPr="00BE0CC6" w:rsidRDefault="007A2219" w:rsidP="007A2219">
            <w:pPr>
              <w:spacing w:after="0"/>
              <w:jc w:val="both"/>
              <w:rPr>
                <w:rFonts w:cs="Tahoma"/>
                <w:szCs w:val="22"/>
              </w:rPr>
            </w:pPr>
            <w:r w:rsidRPr="00BE0CC6">
              <w:rPr>
                <w:rFonts w:cs="Tahoma"/>
                <w:szCs w:val="22"/>
              </w:rPr>
              <w:t>Hon. Commissioners/Other Heads of MDAs</w:t>
            </w:r>
          </w:p>
        </w:tc>
      </w:tr>
      <w:tr w:rsidR="007A2219" w:rsidTr="00CF2199">
        <w:trPr>
          <w:trHeight w:val="20"/>
        </w:trPr>
        <w:tc>
          <w:tcPr>
            <w:tcW w:w="620" w:type="dxa"/>
            <w:vMerge w:val="restart"/>
          </w:tcPr>
          <w:p w:rsidR="007A2219" w:rsidRPr="00BE0CC6" w:rsidRDefault="007A2219" w:rsidP="007A2219">
            <w:pPr>
              <w:spacing w:after="0"/>
              <w:jc w:val="both"/>
              <w:rPr>
                <w:rFonts w:cs="Tahoma"/>
                <w:szCs w:val="22"/>
              </w:rPr>
            </w:pPr>
            <w:r w:rsidRPr="00BE0CC6">
              <w:rPr>
                <w:rFonts w:cs="Tahoma"/>
                <w:szCs w:val="22"/>
              </w:rPr>
              <w:t>3</w:t>
            </w:r>
          </w:p>
        </w:tc>
        <w:tc>
          <w:tcPr>
            <w:tcW w:w="1738" w:type="dxa"/>
            <w:vMerge w:val="restart"/>
          </w:tcPr>
          <w:p w:rsidR="007A2219" w:rsidRPr="00BE0CC6" w:rsidRDefault="007A2219" w:rsidP="007A2219">
            <w:pPr>
              <w:spacing w:after="0"/>
              <w:jc w:val="both"/>
              <w:rPr>
                <w:rFonts w:cs="Tahoma"/>
                <w:szCs w:val="22"/>
              </w:rPr>
            </w:pPr>
            <w:r>
              <w:rPr>
                <w:rFonts w:cs="Tahoma"/>
                <w:szCs w:val="22"/>
              </w:rPr>
              <w:t>Preparation of Y 2022</w:t>
            </w:r>
            <w:r w:rsidRPr="00BE0CC6">
              <w:rPr>
                <w:rFonts w:cs="Tahoma"/>
                <w:szCs w:val="22"/>
              </w:rPr>
              <w:t xml:space="preserve"> Budget Estimates</w:t>
            </w:r>
          </w:p>
        </w:tc>
        <w:tc>
          <w:tcPr>
            <w:tcW w:w="2982" w:type="dxa"/>
          </w:tcPr>
          <w:p w:rsidR="007A2219" w:rsidRPr="00BE0CC6" w:rsidRDefault="007A2219" w:rsidP="007A2219">
            <w:pPr>
              <w:spacing w:after="0"/>
              <w:jc w:val="both"/>
              <w:rPr>
                <w:rFonts w:cs="Tahoma"/>
                <w:szCs w:val="22"/>
              </w:rPr>
            </w:pPr>
            <w:r w:rsidRPr="00BE0CC6">
              <w:rPr>
                <w:rFonts w:cs="Tahoma"/>
                <w:szCs w:val="22"/>
              </w:rPr>
              <w:t>(a) Issuan</w:t>
            </w:r>
            <w:r>
              <w:rPr>
                <w:rFonts w:cs="Tahoma"/>
                <w:szCs w:val="22"/>
              </w:rPr>
              <w:t>ce of Year 2022</w:t>
            </w:r>
            <w:r w:rsidRPr="00BE0CC6">
              <w:rPr>
                <w:rFonts w:cs="Tahoma"/>
                <w:szCs w:val="22"/>
              </w:rPr>
              <w:t xml:space="preserve"> Call Circular</w:t>
            </w:r>
          </w:p>
        </w:tc>
        <w:tc>
          <w:tcPr>
            <w:tcW w:w="1369" w:type="dxa"/>
          </w:tcPr>
          <w:p w:rsidR="007A2219" w:rsidRPr="00BE0CC6" w:rsidRDefault="007A2219" w:rsidP="007A2219">
            <w:pPr>
              <w:spacing w:after="0"/>
              <w:jc w:val="both"/>
              <w:rPr>
                <w:rFonts w:cs="Tahoma"/>
                <w:szCs w:val="22"/>
              </w:rPr>
            </w:pPr>
            <w:r w:rsidRPr="00BE0CC6">
              <w:rPr>
                <w:rFonts w:cs="Tahoma"/>
                <w:szCs w:val="22"/>
              </w:rPr>
              <w:t>July</w:t>
            </w:r>
            <w:r>
              <w:rPr>
                <w:rFonts w:cs="Tahoma"/>
                <w:szCs w:val="22"/>
              </w:rPr>
              <w:t xml:space="preserve"> 2021</w:t>
            </w:r>
          </w:p>
        </w:tc>
        <w:tc>
          <w:tcPr>
            <w:tcW w:w="1931" w:type="dxa"/>
          </w:tcPr>
          <w:p w:rsidR="007A2219" w:rsidRPr="00BE0CC6" w:rsidRDefault="007A2219" w:rsidP="007A2219">
            <w:pPr>
              <w:spacing w:after="0"/>
              <w:jc w:val="both"/>
              <w:rPr>
                <w:rFonts w:cs="Tahoma"/>
                <w:szCs w:val="22"/>
              </w:rPr>
            </w:pPr>
            <w:r>
              <w:rPr>
                <w:rFonts w:cs="Tahoma"/>
                <w:szCs w:val="22"/>
              </w:rPr>
              <w:t>MFB&amp;EP</w:t>
            </w:r>
          </w:p>
        </w:tc>
        <w:tc>
          <w:tcPr>
            <w:tcW w:w="1846" w:type="dxa"/>
          </w:tcPr>
          <w:p w:rsidR="007A2219" w:rsidRPr="00BE0CC6" w:rsidRDefault="007A2219" w:rsidP="007A2219">
            <w:pPr>
              <w:spacing w:after="0"/>
              <w:jc w:val="both"/>
              <w:rPr>
                <w:rFonts w:cs="Tahoma"/>
                <w:szCs w:val="22"/>
              </w:rPr>
            </w:pPr>
            <w:r w:rsidRPr="00BE0CC6">
              <w:rPr>
                <w:rFonts w:cs="Tahoma"/>
                <w:szCs w:val="22"/>
              </w:rPr>
              <w:t>Permanent Secretary</w:t>
            </w:r>
          </w:p>
        </w:tc>
      </w:tr>
      <w:tr w:rsidR="007A2219" w:rsidTr="00CF2199">
        <w:trPr>
          <w:trHeight w:val="20"/>
        </w:trPr>
        <w:tc>
          <w:tcPr>
            <w:tcW w:w="620" w:type="dxa"/>
            <w:vMerge/>
          </w:tcPr>
          <w:p w:rsidR="007A2219" w:rsidRPr="00BE0CC6" w:rsidRDefault="007A2219" w:rsidP="007A2219">
            <w:pPr>
              <w:spacing w:after="0"/>
              <w:jc w:val="both"/>
              <w:rPr>
                <w:rFonts w:cs="Tahoma"/>
                <w:szCs w:val="22"/>
              </w:rPr>
            </w:pPr>
          </w:p>
        </w:tc>
        <w:tc>
          <w:tcPr>
            <w:tcW w:w="1738" w:type="dxa"/>
            <w:vMerge/>
          </w:tcPr>
          <w:p w:rsidR="007A2219" w:rsidRPr="00BE0CC6" w:rsidRDefault="007A2219" w:rsidP="007A2219">
            <w:pPr>
              <w:spacing w:after="0"/>
              <w:jc w:val="both"/>
              <w:rPr>
                <w:rFonts w:cs="Tahoma"/>
                <w:szCs w:val="22"/>
              </w:rPr>
            </w:pPr>
          </w:p>
        </w:tc>
        <w:tc>
          <w:tcPr>
            <w:tcW w:w="2982" w:type="dxa"/>
          </w:tcPr>
          <w:p w:rsidR="007A2219" w:rsidRPr="00BE0CC6" w:rsidRDefault="007A2219" w:rsidP="007A2219">
            <w:pPr>
              <w:tabs>
                <w:tab w:val="left" w:pos="434"/>
              </w:tabs>
              <w:spacing w:after="0"/>
              <w:rPr>
                <w:rFonts w:cs="Tahoma"/>
                <w:szCs w:val="22"/>
              </w:rPr>
            </w:pPr>
            <w:r>
              <w:rPr>
                <w:rFonts w:cs="Tahoma"/>
                <w:szCs w:val="22"/>
              </w:rPr>
              <w:t xml:space="preserve">(b) </w:t>
            </w:r>
            <w:r w:rsidRPr="00BE0CC6">
              <w:rPr>
                <w:rFonts w:cs="Tahoma"/>
                <w:szCs w:val="22"/>
              </w:rPr>
              <w:t>Budget Consultative</w:t>
            </w:r>
            <w:r>
              <w:rPr>
                <w:rFonts w:cs="Tahoma"/>
                <w:szCs w:val="22"/>
              </w:rPr>
              <w:t xml:space="preserve"> </w:t>
            </w:r>
            <w:r w:rsidRPr="00BE0CC6">
              <w:rPr>
                <w:rFonts w:cs="Tahoma"/>
                <w:szCs w:val="22"/>
              </w:rPr>
              <w:t>/Stakeholders Forum</w:t>
            </w:r>
          </w:p>
        </w:tc>
        <w:tc>
          <w:tcPr>
            <w:tcW w:w="1369" w:type="dxa"/>
          </w:tcPr>
          <w:p w:rsidR="007A2219" w:rsidRPr="00BE0CC6" w:rsidRDefault="007A2219" w:rsidP="007A2219">
            <w:pPr>
              <w:spacing w:after="0"/>
              <w:jc w:val="both"/>
              <w:rPr>
                <w:rFonts w:cs="Tahoma"/>
                <w:szCs w:val="22"/>
              </w:rPr>
            </w:pPr>
            <w:r w:rsidRPr="00BE0CC6">
              <w:rPr>
                <w:rFonts w:cs="Tahoma"/>
                <w:szCs w:val="22"/>
              </w:rPr>
              <w:t>July</w:t>
            </w:r>
            <w:r>
              <w:rPr>
                <w:rFonts w:cs="Tahoma"/>
                <w:szCs w:val="22"/>
              </w:rPr>
              <w:t xml:space="preserve"> 2021</w:t>
            </w:r>
          </w:p>
        </w:tc>
        <w:tc>
          <w:tcPr>
            <w:tcW w:w="1931" w:type="dxa"/>
          </w:tcPr>
          <w:p w:rsidR="007A2219" w:rsidRPr="00BE0CC6" w:rsidRDefault="007A2219" w:rsidP="007A2219">
            <w:pPr>
              <w:spacing w:after="0"/>
              <w:jc w:val="both"/>
              <w:rPr>
                <w:rFonts w:cs="Tahoma"/>
                <w:szCs w:val="22"/>
              </w:rPr>
            </w:pPr>
            <w:r>
              <w:rPr>
                <w:rFonts w:cs="Tahoma"/>
                <w:szCs w:val="22"/>
              </w:rPr>
              <w:t>MFB&amp;EP</w:t>
            </w:r>
            <w:r w:rsidRPr="00BE0CC6">
              <w:rPr>
                <w:rFonts w:cs="Tahoma"/>
                <w:szCs w:val="22"/>
              </w:rPr>
              <w:t>(Budget Dept.), MDAs &amp; Other Stakeholders eg. CSOs</w:t>
            </w:r>
          </w:p>
        </w:tc>
        <w:tc>
          <w:tcPr>
            <w:tcW w:w="1846" w:type="dxa"/>
          </w:tcPr>
          <w:p w:rsidR="007A2219" w:rsidRPr="00BE0CC6" w:rsidRDefault="007A2219" w:rsidP="007A2219">
            <w:pPr>
              <w:spacing w:after="0"/>
              <w:jc w:val="both"/>
              <w:rPr>
                <w:rFonts w:cs="Tahoma"/>
                <w:szCs w:val="22"/>
              </w:rPr>
            </w:pPr>
            <w:r w:rsidRPr="00BE0CC6">
              <w:rPr>
                <w:rFonts w:cs="Tahoma"/>
                <w:szCs w:val="22"/>
              </w:rPr>
              <w:t>Permanent Secretary</w:t>
            </w:r>
          </w:p>
        </w:tc>
      </w:tr>
      <w:tr w:rsidR="007A2219" w:rsidTr="00CF2199">
        <w:trPr>
          <w:trHeight w:val="20"/>
        </w:trPr>
        <w:tc>
          <w:tcPr>
            <w:tcW w:w="620" w:type="dxa"/>
            <w:vMerge/>
          </w:tcPr>
          <w:p w:rsidR="007A2219" w:rsidRPr="00BE0CC6" w:rsidRDefault="007A2219" w:rsidP="007A2219">
            <w:pPr>
              <w:spacing w:after="0"/>
              <w:jc w:val="both"/>
              <w:rPr>
                <w:rFonts w:cs="Tahoma"/>
                <w:szCs w:val="22"/>
              </w:rPr>
            </w:pPr>
          </w:p>
        </w:tc>
        <w:tc>
          <w:tcPr>
            <w:tcW w:w="1738" w:type="dxa"/>
            <w:vMerge/>
          </w:tcPr>
          <w:p w:rsidR="007A2219" w:rsidRPr="00BE0CC6" w:rsidRDefault="007A2219" w:rsidP="007A2219">
            <w:pPr>
              <w:spacing w:after="0"/>
              <w:jc w:val="both"/>
              <w:rPr>
                <w:rFonts w:cs="Tahoma"/>
                <w:szCs w:val="22"/>
              </w:rPr>
            </w:pPr>
          </w:p>
        </w:tc>
        <w:tc>
          <w:tcPr>
            <w:tcW w:w="2982" w:type="dxa"/>
          </w:tcPr>
          <w:p w:rsidR="007A2219" w:rsidRPr="00BE0CC6" w:rsidRDefault="007A2219" w:rsidP="007A2219">
            <w:pPr>
              <w:spacing w:after="0"/>
              <w:jc w:val="both"/>
              <w:rPr>
                <w:rFonts w:cs="Tahoma"/>
                <w:szCs w:val="22"/>
              </w:rPr>
            </w:pPr>
            <w:r w:rsidRPr="00BE0CC6">
              <w:rPr>
                <w:rFonts w:cs="Tahoma"/>
                <w:szCs w:val="22"/>
              </w:rPr>
              <w:t xml:space="preserve">(d) Submission of Budget Proposals </w:t>
            </w:r>
          </w:p>
        </w:tc>
        <w:tc>
          <w:tcPr>
            <w:tcW w:w="1369" w:type="dxa"/>
          </w:tcPr>
          <w:p w:rsidR="007A2219" w:rsidRPr="00BE0CC6" w:rsidRDefault="007A2219" w:rsidP="007A2219">
            <w:pPr>
              <w:spacing w:after="0"/>
              <w:jc w:val="both"/>
              <w:rPr>
                <w:rFonts w:cs="Tahoma"/>
                <w:szCs w:val="22"/>
              </w:rPr>
            </w:pPr>
            <w:r w:rsidRPr="00BE0CC6">
              <w:rPr>
                <w:rFonts w:cs="Tahoma"/>
                <w:szCs w:val="22"/>
              </w:rPr>
              <w:t>Aug./Sept.</w:t>
            </w:r>
            <w:r>
              <w:rPr>
                <w:rFonts w:cs="Tahoma"/>
                <w:szCs w:val="22"/>
              </w:rPr>
              <w:t xml:space="preserve"> 202</w:t>
            </w:r>
            <w:r w:rsidR="00084BBA">
              <w:rPr>
                <w:rFonts w:cs="Tahoma"/>
                <w:szCs w:val="22"/>
              </w:rPr>
              <w:t>1</w:t>
            </w:r>
          </w:p>
        </w:tc>
        <w:tc>
          <w:tcPr>
            <w:tcW w:w="1931" w:type="dxa"/>
          </w:tcPr>
          <w:p w:rsidR="007A2219" w:rsidRPr="00BE0CC6" w:rsidRDefault="007A2219" w:rsidP="007A2219">
            <w:pPr>
              <w:spacing w:after="0"/>
              <w:jc w:val="both"/>
              <w:rPr>
                <w:rFonts w:cs="Tahoma"/>
                <w:szCs w:val="22"/>
              </w:rPr>
            </w:pPr>
            <w:r>
              <w:rPr>
                <w:rFonts w:cs="Tahoma"/>
                <w:szCs w:val="22"/>
              </w:rPr>
              <w:t>MFB&amp;EP</w:t>
            </w:r>
            <w:r w:rsidRPr="00BE0CC6">
              <w:rPr>
                <w:rFonts w:cs="Tahoma"/>
                <w:szCs w:val="22"/>
              </w:rPr>
              <w:t>/MDAs</w:t>
            </w:r>
          </w:p>
        </w:tc>
        <w:tc>
          <w:tcPr>
            <w:tcW w:w="1846" w:type="dxa"/>
          </w:tcPr>
          <w:p w:rsidR="007A2219" w:rsidRPr="00BE0CC6" w:rsidRDefault="007A2219" w:rsidP="007A2219">
            <w:pPr>
              <w:spacing w:after="0"/>
              <w:jc w:val="both"/>
              <w:rPr>
                <w:rFonts w:cs="Tahoma"/>
                <w:szCs w:val="22"/>
              </w:rPr>
            </w:pPr>
            <w:r w:rsidRPr="00BE0CC6">
              <w:rPr>
                <w:rFonts w:cs="Tahoma"/>
                <w:szCs w:val="22"/>
              </w:rPr>
              <w:t>Permanent Secretary</w:t>
            </w:r>
          </w:p>
        </w:tc>
      </w:tr>
      <w:tr w:rsidR="007A2219" w:rsidTr="00CF2199">
        <w:trPr>
          <w:trHeight w:val="20"/>
        </w:trPr>
        <w:tc>
          <w:tcPr>
            <w:tcW w:w="620" w:type="dxa"/>
            <w:vMerge/>
          </w:tcPr>
          <w:p w:rsidR="007A2219" w:rsidRPr="00BE0CC6" w:rsidRDefault="007A2219" w:rsidP="007A2219">
            <w:pPr>
              <w:spacing w:after="0"/>
              <w:jc w:val="both"/>
              <w:rPr>
                <w:rFonts w:cs="Tahoma"/>
                <w:szCs w:val="22"/>
              </w:rPr>
            </w:pPr>
          </w:p>
        </w:tc>
        <w:tc>
          <w:tcPr>
            <w:tcW w:w="1738" w:type="dxa"/>
            <w:vMerge/>
          </w:tcPr>
          <w:p w:rsidR="007A2219" w:rsidRPr="00BE0CC6" w:rsidRDefault="007A2219" w:rsidP="007A2219">
            <w:pPr>
              <w:spacing w:after="0"/>
              <w:jc w:val="both"/>
              <w:rPr>
                <w:rFonts w:cs="Tahoma"/>
                <w:szCs w:val="22"/>
              </w:rPr>
            </w:pPr>
          </w:p>
        </w:tc>
        <w:tc>
          <w:tcPr>
            <w:tcW w:w="2982" w:type="dxa"/>
          </w:tcPr>
          <w:p w:rsidR="007A2219" w:rsidRPr="00BE0CC6" w:rsidRDefault="007A2219" w:rsidP="007A2219">
            <w:pPr>
              <w:spacing w:after="0"/>
              <w:jc w:val="both"/>
              <w:rPr>
                <w:rFonts w:cs="Tahoma"/>
                <w:szCs w:val="22"/>
              </w:rPr>
            </w:pPr>
            <w:r>
              <w:rPr>
                <w:rFonts w:cs="Tahoma"/>
                <w:szCs w:val="22"/>
              </w:rPr>
              <w:t>(c) MDAs</w:t>
            </w:r>
            <w:r w:rsidRPr="00BE0CC6">
              <w:rPr>
                <w:rFonts w:cs="Tahoma"/>
                <w:szCs w:val="22"/>
              </w:rPr>
              <w:t xml:space="preserve"> Budget Defence</w:t>
            </w:r>
          </w:p>
        </w:tc>
        <w:tc>
          <w:tcPr>
            <w:tcW w:w="1369" w:type="dxa"/>
          </w:tcPr>
          <w:p w:rsidR="007A2219" w:rsidRPr="00BE0CC6" w:rsidRDefault="007A2219" w:rsidP="007A2219">
            <w:pPr>
              <w:spacing w:after="0"/>
              <w:jc w:val="both"/>
              <w:rPr>
                <w:rFonts w:cs="Tahoma"/>
                <w:szCs w:val="22"/>
              </w:rPr>
            </w:pPr>
            <w:r w:rsidRPr="00BE0CC6">
              <w:rPr>
                <w:rFonts w:cs="Tahoma"/>
                <w:szCs w:val="22"/>
              </w:rPr>
              <w:t>September</w:t>
            </w:r>
            <w:r>
              <w:rPr>
                <w:rFonts w:cs="Tahoma"/>
                <w:szCs w:val="22"/>
              </w:rPr>
              <w:t xml:space="preserve"> 202</w:t>
            </w:r>
            <w:r w:rsidR="00084BBA">
              <w:rPr>
                <w:rFonts w:cs="Tahoma"/>
                <w:szCs w:val="22"/>
              </w:rPr>
              <w:t>1</w:t>
            </w:r>
          </w:p>
        </w:tc>
        <w:tc>
          <w:tcPr>
            <w:tcW w:w="1931" w:type="dxa"/>
          </w:tcPr>
          <w:p w:rsidR="007A2219" w:rsidRPr="00BE0CC6" w:rsidRDefault="007A2219" w:rsidP="007A2219">
            <w:pPr>
              <w:spacing w:after="0"/>
              <w:jc w:val="both"/>
              <w:rPr>
                <w:rFonts w:cs="Tahoma"/>
                <w:szCs w:val="22"/>
              </w:rPr>
            </w:pPr>
            <w:r>
              <w:rPr>
                <w:rFonts w:cs="Tahoma"/>
                <w:szCs w:val="22"/>
              </w:rPr>
              <w:t>MFB&amp;EP</w:t>
            </w:r>
            <w:r w:rsidRPr="00BE0CC6">
              <w:rPr>
                <w:rFonts w:cs="Tahoma"/>
                <w:szCs w:val="22"/>
              </w:rPr>
              <w:t>/MDAs</w:t>
            </w:r>
          </w:p>
        </w:tc>
        <w:tc>
          <w:tcPr>
            <w:tcW w:w="1846" w:type="dxa"/>
          </w:tcPr>
          <w:p w:rsidR="007A2219" w:rsidRPr="00BE0CC6" w:rsidRDefault="007A2219" w:rsidP="007A2219">
            <w:pPr>
              <w:spacing w:after="0"/>
              <w:jc w:val="both"/>
              <w:rPr>
                <w:rFonts w:cs="Tahoma"/>
                <w:szCs w:val="22"/>
              </w:rPr>
            </w:pPr>
            <w:r w:rsidRPr="00BE0CC6">
              <w:rPr>
                <w:rFonts w:cs="Tahoma"/>
                <w:szCs w:val="22"/>
              </w:rPr>
              <w:t>Permanent Secretary</w:t>
            </w:r>
          </w:p>
        </w:tc>
      </w:tr>
      <w:tr w:rsidR="007A2219" w:rsidTr="00CF2199">
        <w:trPr>
          <w:trHeight w:val="20"/>
        </w:trPr>
        <w:tc>
          <w:tcPr>
            <w:tcW w:w="620" w:type="dxa"/>
            <w:vMerge/>
          </w:tcPr>
          <w:p w:rsidR="007A2219" w:rsidRPr="00BE0CC6" w:rsidRDefault="007A2219" w:rsidP="007A2219">
            <w:pPr>
              <w:spacing w:after="0"/>
              <w:jc w:val="both"/>
              <w:rPr>
                <w:rFonts w:cs="Tahoma"/>
                <w:szCs w:val="22"/>
              </w:rPr>
            </w:pPr>
          </w:p>
        </w:tc>
        <w:tc>
          <w:tcPr>
            <w:tcW w:w="1738" w:type="dxa"/>
            <w:vMerge/>
          </w:tcPr>
          <w:p w:rsidR="007A2219" w:rsidRPr="00BE0CC6" w:rsidRDefault="007A2219" w:rsidP="007A2219">
            <w:pPr>
              <w:spacing w:after="0"/>
              <w:jc w:val="both"/>
              <w:rPr>
                <w:rFonts w:cs="Tahoma"/>
                <w:szCs w:val="22"/>
              </w:rPr>
            </w:pPr>
          </w:p>
        </w:tc>
        <w:tc>
          <w:tcPr>
            <w:tcW w:w="2982" w:type="dxa"/>
          </w:tcPr>
          <w:p w:rsidR="007A2219" w:rsidRPr="00BE0CC6" w:rsidRDefault="007A2219" w:rsidP="007A2219">
            <w:pPr>
              <w:spacing w:after="0"/>
              <w:jc w:val="both"/>
              <w:rPr>
                <w:rFonts w:cs="Tahoma"/>
                <w:szCs w:val="22"/>
              </w:rPr>
            </w:pPr>
            <w:r w:rsidRPr="00BE0CC6">
              <w:rPr>
                <w:rFonts w:cs="Tahoma"/>
                <w:szCs w:val="22"/>
              </w:rPr>
              <w:t>(e) Collation of Estimate</w:t>
            </w:r>
          </w:p>
        </w:tc>
        <w:tc>
          <w:tcPr>
            <w:tcW w:w="1369" w:type="dxa"/>
          </w:tcPr>
          <w:p w:rsidR="007A2219" w:rsidRPr="00BE0CC6" w:rsidRDefault="007A2219" w:rsidP="007A2219">
            <w:pPr>
              <w:spacing w:after="0"/>
              <w:jc w:val="both"/>
              <w:rPr>
                <w:rFonts w:cs="Tahoma"/>
                <w:szCs w:val="22"/>
              </w:rPr>
            </w:pPr>
            <w:r w:rsidRPr="00BE0CC6">
              <w:rPr>
                <w:rFonts w:cs="Tahoma"/>
                <w:szCs w:val="22"/>
              </w:rPr>
              <w:t>October</w:t>
            </w:r>
            <w:r>
              <w:rPr>
                <w:rFonts w:cs="Tahoma"/>
                <w:szCs w:val="22"/>
              </w:rPr>
              <w:t xml:space="preserve"> 202</w:t>
            </w:r>
            <w:r w:rsidR="00084BBA">
              <w:rPr>
                <w:rFonts w:cs="Tahoma"/>
                <w:szCs w:val="22"/>
              </w:rPr>
              <w:t>1</w:t>
            </w:r>
          </w:p>
        </w:tc>
        <w:tc>
          <w:tcPr>
            <w:tcW w:w="1931" w:type="dxa"/>
          </w:tcPr>
          <w:p w:rsidR="007A2219" w:rsidRPr="00BE0CC6" w:rsidRDefault="007A2219" w:rsidP="007A2219">
            <w:pPr>
              <w:spacing w:after="0"/>
              <w:jc w:val="both"/>
              <w:rPr>
                <w:rFonts w:cs="Tahoma"/>
                <w:szCs w:val="22"/>
              </w:rPr>
            </w:pPr>
            <w:r>
              <w:rPr>
                <w:rFonts w:cs="Tahoma"/>
                <w:szCs w:val="22"/>
              </w:rPr>
              <w:t>MFB&amp;EP</w:t>
            </w:r>
          </w:p>
        </w:tc>
        <w:tc>
          <w:tcPr>
            <w:tcW w:w="1846" w:type="dxa"/>
          </w:tcPr>
          <w:p w:rsidR="007A2219" w:rsidRPr="00BE0CC6" w:rsidRDefault="007A2219" w:rsidP="007A2219">
            <w:pPr>
              <w:spacing w:after="0"/>
              <w:jc w:val="both"/>
              <w:rPr>
                <w:rFonts w:cs="Tahoma"/>
                <w:szCs w:val="22"/>
              </w:rPr>
            </w:pPr>
            <w:r w:rsidRPr="00BE0CC6">
              <w:rPr>
                <w:rFonts w:cs="Tahoma"/>
                <w:szCs w:val="22"/>
              </w:rPr>
              <w:t>Director Budget</w:t>
            </w:r>
          </w:p>
        </w:tc>
      </w:tr>
      <w:tr w:rsidR="00141942" w:rsidTr="008D6919">
        <w:trPr>
          <w:trHeight w:val="917"/>
        </w:trPr>
        <w:tc>
          <w:tcPr>
            <w:tcW w:w="620" w:type="dxa"/>
          </w:tcPr>
          <w:p w:rsidR="00141942" w:rsidRPr="00BE0CC6" w:rsidRDefault="00141942" w:rsidP="007A2219">
            <w:pPr>
              <w:spacing w:after="0"/>
              <w:jc w:val="both"/>
              <w:rPr>
                <w:rFonts w:cs="Tahoma"/>
                <w:szCs w:val="22"/>
              </w:rPr>
            </w:pPr>
            <w:r w:rsidRPr="00BE0CC6">
              <w:rPr>
                <w:rFonts w:cs="Tahoma"/>
                <w:szCs w:val="22"/>
              </w:rPr>
              <w:t>4</w:t>
            </w:r>
          </w:p>
        </w:tc>
        <w:tc>
          <w:tcPr>
            <w:tcW w:w="1738" w:type="dxa"/>
          </w:tcPr>
          <w:p w:rsidR="00141942" w:rsidRPr="00BE0CC6" w:rsidRDefault="00141942" w:rsidP="007A2219">
            <w:pPr>
              <w:spacing w:after="0"/>
              <w:jc w:val="both"/>
              <w:rPr>
                <w:rFonts w:cs="Tahoma"/>
                <w:szCs w:val="22"/>
              </w:rPr>
            </w:pPr>
            <w:r>
              <w:rPr>
                <w:rFonts w:cs="Tahoma"/>
                <w:szCs w:val="22"/>
              </w:rPr>
              <w:t>2022</w:t>
            </w:r>
            <w:r w:rsidRPr="00BE0CC6">
              <w:rPr>
                <w:rFonts w:cs="Tahoma"/>
                <w:szCs w:val="22"/>
              </w:rPr>
              <w:t xml:space="preserve"> Draft Budget</w:t>
            </w:r>
          </w:p>
        </w:tc>
        <w:tc>
          <w:tcPr>
            <w:tcW w:w="2982" w:type="dxa"/>
          </w:tcPr>
          <w:p w:rsidR="00141942" w:rsidRPr="00BE0CC6" w:rsidRDefault="00141942" w:rsidP="007A2219">
            <w:pPr>
              <w:spacing w:after="0"/>
              <w:jc w:val="both"/>
              <w:rPr>
                <w:rFonts w:cs="Tahoma"/>
                <w:szCs w:val="22"/>
              </w:rPr>
            </w:pPr>
            <w:r>
              <w:rPr>
                <w:rFonts w:cs="Tahoma"/>
                <w:szCs w:val="22"/>
              </w:rPr>
              <w:t>Submission of Year 2022</w:t>
            </w:r>
            <w:r w:rsidRPr="00BE0CC6">
              <w:rPr>
                <w:rFonts w:cs="Tahoma"/>
                <w:szCs w:val="22"/>
              </w:rPr>
              <w:t xml:space="preserve"> draft Budget to His Excellency</w:t>
            </w:r>
          </w:p>
        </w:tc>
        <w:tc>
          <w:tcPr>
            <w:tcW w:w="1369" w:type="dxa"/>
          </w:tcPr>
          <w:p w:rsidR="00141942" w:rsidRPr="00BE0CC6" w:rsidRDefault="00141942" w:rsidP="007A2219">
            <w:pPr>
              <w:spacing w:after="0"/>
              <w:jc w:val="both"/>
              <w:rPr>
                <w:rFonts w:cs="Tahoma"/>
                <w:szCs w:val="22"/>
              </w:rPr>
            </w:pPr>
            <w:r w:rsidRPr="00BE0CC6">
              <w:rPr>
                <w:rFonts w:cs="Tahoma"/>
                <w:szCs w:val="22"/>
              </w:rPr>
              <w:t>Oct./Nov.</w:t>
            </w:r>
            <w:r>
              <w:rPr>
                <w:rFonts w:cs="Tahoma"/>
                <w:szCs w:val="22"/>
              </w:rPr>
              <w:t xml:space="preserve"> 2021</w:t>
            </w:r>
          </w:p>
        </w:tc>
        <w:tc>
          <w:tcPr>
            <w:tcW w:w="1931" w:type="dxa"/>
          </w:tcPr>
          <w:p w:rsidR="00141942" w:rsidRPr="00BE0CC6" w:rsidRDefault="00141942" w:rsidP="007A2219">
            <w:pPr>
              <w:spacing w:after="0"/>
              <w:jc w:val="both"/>
              <w:rPr>
                <w:rFonts w:cs="Tahoma"/>
                <w:szCs w:val="22"/>
              </w:rPr>
            </w:pPr>
            <w:r>
              <w:rPr>
                <w:rFonts w:cs="Tahoma"/>
                <w:szCs w:val="22"/>
              </w:rPr>
              <w:t>MFB&amp;EP</w:t>
            </w:r>
          </w:p>
        </w:tc>
        <w:tc>
          <w:tcPr>
            <w:tcW w:w="1846" w:type="dxa"/>
          </w:tcPr>
          <w:p w:rsidR="00141942" w:rsidRPr="00BE0CC6" w:rsidRDefault="00141942" w:rsidP="007A2219">
            <w:pPr>
              <w:spacing w:after="0"/>
              <w:jc w:val="both"/>
              <w:rPr>
                <w:rFonts w:cs="Tahoma"/>
                <w:szCs w:val="22"/>
              </w:rPr>
            </w:pPr>
            <w:r w:rsidRPr="00BE0CC6">
              <w:rPr>
                <w:rFonts w:cs="Tahoma"/>
                <w:szCs w:val="22"/>
              </w:rPr>
              <w:t xml:space="preserve">HC </w:t>
            </w:r>
            <w:r>
              <w:rPr>
                <w:rFonts w:cs="Tahoma"/>
                <w:szCs w:val="22"/>
              </w:rPr>
              <w:t>MFB&amp;EP</w:t>
            </w:r>
          </w:p>
        </w:tc>
      </w:tr>
      <w:tr w:rsidR="007A2219" w:rsidTr="00CF2199">
        <w:trPr>
          <w:trHeight w:val="20"/>
        </w:trPr>
        <w:tc>
          <w:tcPr>
            <w:tcW w:w="620" w:type="dxa"/>
            <w:vMerge w:val="restart"/>
          </w:tcPr>
          <w:p w:rsidR="007A2219" w:rsidRPr="00BE0CC6" w:rsidRDefault="007A2219" w:rsidP="007A2219">
            <w:pPr>
              <w:spacing w:after="0"/>
              <w:jc w:val="both"/>
              <w:rPr>
                <w:rFonts w:cs="Tahoma"/>
                <w:szCs w:val="22"/>
              </w:rPr>
            </w:pPr>
            <w:r w:rsidRPr="00BE0CC6">
              <w:rPr>
                <w:rFonts w:cs="Tahoma"/>
                <w:szCs w:val="22"/>
              </w:rPr>
              <w:t>5</w:t>
            </w:r>
          </w:p>
        </w:tc>
        <w:tc>
          <w:tcPr>
            <w:tcW w:w="1738" w:type="dxa"/>
            <w:vMerge w:val="restart"/>
          </w:tcPr>
          <w:p w:rsidR="007A2219" w:rsidRPr="00BE0CC6" w:rsidRDefault="007A2219" w:rsidP="007A2219">
            <w:pPr>
              <w:spacing w:after="0"/>
              <w:jc w:val="both"/>
              <w:rPr>
                <w:rFonts w:cs="Tahoma"/>
                <w:szCs w:val="22"/>
              </w:rPr>
            </w:pPr>
            <w:r w:rsidRPr="00BE0CC6">
              <w:rPr>
                <w:rFonts w:cs="Tahoma"/>
                <w:szCs w:val="22"/>
              </w:rPr>
              <w:t>Legislative Processes</w:t>
            </w:r>
          </w:p>
        </w:tc>
        <w:tc>
          <w:tcPr>
            <w:tcW w:w="2982" w:type="dxa"/>
          </w:tcPr>
          <w:p w:rsidR="007A2219" w:rsidRPr="00BE0CC6" w:rsidRDefault="007A2219" w:rsidP="007A2219">
            <w:pPr>
              <w:spacing w:after="0"/>
              <w:jc w:val="both"/>
              <w:rPr>
                <w:rFonts w:cs="Tahoma"/>
                <w:szCs w:val="22"/>
              </w:rPr>
            </w:pPr>
            <w:r w:rsidRPr="00BE0CC6">
              <w:rPr>
                <w:rFonts w:cs="Tahoma"/>
                <w:szCs w:val="22"/>
              </w:rPr>
              <w:t>(a) Presentatio</w:t>
            </w:r>
            <w:r>
              <w:rPr>
                <w:rFonts w:cs="Tahoma"/>
                <w:szCs w:val="22"/>
              </w:rPr>
              <w:t>n of Draft Yea</w:t>
            </w:r>
            <w:r w:rsidR="00084BBA">
              <w:rPr>
                <w:rFonts w:cs="Tahoma"/>
                <w:szCs w:val="22"/>
              </w:rPr>
              <w:t>r 2022</w:t>
            </w:r>
            <w:r w:rsidRPr="00BE0CC6">
              <w:rPr>
                <w:rFonts w:cs="Tahoma"/>
                <w:szCs w:val="22"/>
              </w:rPr>
              <w:t xml:space="preserve"> Budget Estimates to House of Assembly</w:t>
            </w:r>
          </w:p>
        </w:tc>
        <w:tc>
          <w:tcPr>
            <w:tcW w:w="1369" w:type="dxa"/>
          </w:tcPr>
          <w:p w:rsidR="007A2219" w:rsidRPr="00BE0CC6" w:rsidRDefault="007A2219" w:rsidP="007A2219">
            <w:pPr>
              <w:spacing w:after="0"/>
              <w:jc w:val="both"/>
              <w:rPr>
                <w:rFonts w:cs="Tahoma"/>
                <w:szCs w:val="22"/>
              </w:rPr>
            </w:pPr>
            <w:r>
              <w:rPr>
                <w:rFonts w:cs="Tahoma"/>
                <w:szCs w:val="22"/>
              </w:rPr>
              <w:t>Nov</w:t>
            </w:r>
            <w:r w:rsidRPr="00BE0CC6">
              <w:rPr>
                <w:rFonts w:cs="Tahoma"/>
                <w:szCs w:val="22"/>
              </w:rPr>
              <w:t>ember</w:t>
            </w:r>
            <w:r>
              <w:rPr>
                <w:rFonts w:cs="Tahoma"/>
                <w:szCs w:val="22"/>
              </w:rPr>
              <w:t xml:space="preserve"> 202</w:t>
            </w:r>
            <w:r w:rsidR="00084BBA">
              <w:rPr>
                <w:rFonts w:cs="Tahoma"/>
                <w:szCs w:val="22"/>
              </w:rPr>
              <w:t>1</w:t>
            </w:r>
          </w:p>
        </w:tc>
        <w:tc>
          <w:tcPr>
            <w:tcW w:w="1931" w:type="dxa"/>
          </w:tcPr>
          <w:p w:rsidR="007A2219" w:rsidRPr="00BE0CC6" w:rsidRDefault="007A2219" w:rsidP="007A2219">
            <w:pPr>
              <w:spacing w:after="0"/>
              <w:jc w:val="both"/>
              <w:rPr>
                <w:rFonts w:cs="Tahoma"/>
                <w:szCs w:val="22"/>
              </w:rPr>
            </w:pPr>
            <w:r w:rsidRPr="00BE0CC6">
              <w:rPr>
                <w:rFonts w:cs="Tahoma"/>
                <w:szCs w:val="22"/>
              </w:rPr>
              <w:t>Governor’s Office</w:t>
            </w:r>
          </w:p>
        </w:tc>
        <w:tc>
          <w:tcPr>
            <w:tcW w:w="1846" w:type="dxa"/>
          </w:tcPr>
          <w:p w:rsidR="007A2219" w:rsidRPr="00BE0CC6" w:rsidRDefault="007A2219" w:rsidP="007A2219">
            <w:pPr>
              <w:spacing w:after="0"/>
              <w:jc w:val="both"/>
              <w:rPr>
                <w:rFonts w:cs="Tahoma"/>
                <w:szCs w:val="22"/>
              </w:rPr>
            </w:pPr>
            <w:r w:rsidRPr="00BE0CC6">
              <w:rPr>
                <w:rFonts w:cs="Tahoma"/>
                <w:szCs w:val="22"/>
              </w:rPr>
              <w:t>His Excellency</w:t>
            </w:r>
          </w:p>
        </w:tc>
      </w:tr>
      <w:tr w:rsidR="007A2219" w:rsidTr="00CF2199">
        <w:trPr>
          <w:trHeight w:val="20"/>
        </w:trPr>
        <w:tc>
          <w:tcPr>
            <w:tcW w:w="620" w:type="dxa"/>
            <w:vMerge/>
          </w:tcPr>
          <w:p w:rsidR="007A2219" w:rsidRPr="00BE0CC6" w:rsidRDefault="007A2219" w:rsidP="007A2219">
            <w:pPr>
              <w:spacing w:after="0"/>
              <w:jc w:val="both"/>
              <w:rPr>
                <w:rFonts w:cs="Tahoma"/>
                <w:szCs w:val="22"/>
              </w:rPr>
            </w:pPr>
          </w:p>
        </w:tc>
        <w:tc>
          <w:tcPr>
            <w:tcW w:w="1738" w:type="dxa"/>
            <w:vMerge/>
          </w:tcPr>
          <w:p w:rsidR="007A2219" w:rsidRPr="00BE0CC6" w:rsidRDefault="007A2219" w:rsidP="007A2219">
            <w:pPr>
              <w:spacing w:after="0"/>
              <w:jc w:val="both"/>
              <w:rPr>
                <w:rFonts w:cs="Tahoma"/>
                <w:szCs w:val="22"/>
              </w:rPr>
            </w:pPr>
          </w:p>
        </w:tc>
        <w:tc>
          <w:tcPr>
            <w:tcW w:w="2982" w:type="dxa"/>
            <w:shd w:val="clear" w:color="auto" w:fill="auto"/>
          </w:tcPr>
          <w:p w:rsidR="007A2219" w:rsidRPr="00BE0CC6" w:rsidRDefault="007A2219" w:rsidP="007A2219">
            <w:pPr>
              <w:spacing w:after="0"/>
              <w:jc w:val="both"/>
              <w:rPr>
                <w:rFonts w:cs="Tahoma"/>
                <w:szCs w:val="22"/>
              </w:rPr>
            </w:pPr>
            <w:r w:rsidRPr="00BE0CC6">
              <w:rPr>
                <w:rFonts w:cs="Tahoma"/>
                <w:szCs w:val="22"/>
              </w:rPr>
              <w:t>(b) Consideration of Budget Draft Estimates by SHoA including interaction with MDAs/scrutiny of estimates.</w:t>
            </w:r>
          </w:p>
        </w:tc>
        <w:tc>
          <w:tcPr>
            <w:tcW w:w="1369" w:type="dxa"/>
            <w:shd w:val="clear" w:color="auto" w:fill="auto"/>
          </w:tcPr>
          <w:p w:rsidR="007A2219" w:rsidRPr="00BE0CC6" w:rsidRDefault="007A2219" w:rsidP="007A2219">
            <w:pPr>
              <w:spacing w:after="0"/>
              <w:jc w:val="both"/>
              <w:rPr>
                <w:rFonts w:cs="Tahoma"/>
                <w:szCs w:val="22"/>
              </w:rPr>
            </w:pPr>
            <w:r w:rsidRPr="00BE0CC6">
              <w:rPr>
                <w:rFonts w:cs="Tahoma"/>
                <w:szCs w:val="22"/>
              </w:rPr>
              <w:t>December</w:t>
            </w:r>
            <w:r>
              <w:rPr>
                <w:rFonts w:cs="Tahoma"/>
                <w:szCs w:val="22"/>
              </w:rPr>
              <w:t xml:space="preserve"> 202</w:t>
            </w:r>
            <w:r w:rsidR="00084BBA">
              <w:rPr>
                <w:rFonts w:cs="Tahoma"/>
                <w:szCs w:val="22"/>
              </w:rPr>
              <w:t>1</w:t>
            </w:r>
          </w:p>
        </w:tc>
        <w:tc>
          <w:tcPr>
            <w:tcW w:w="1931" w:type="dxa"/>
            <w:shd w:val="clear" w:color="auto" w:fill="auto"/>
          </w:tcPr>
          <w:p w:rsidR="007A2219" w:rsidRPr="00BE0CC6" w:rsidRDefault="007A2219" w:rsidP="007A2219">
            <w:pPr>
              <w:spacing w:after="0"/>
              <w:jc w:val="both"/>
              <w:rPr>
                <w:rFonts w:cs="Tahoma"/>
                <w:szCs w:val="22"/>
              </w:rPr>
            </w:pPr>
            <w:r w:rsidRPr="00BE0CC6">
              <w:rPr>
                <w:rFonts w:cs="Tahoma"/>
                <w:szCs w:val="22"/>
              </w:rPr>
              <w:t>SHoA</w:t>
            </w:r>
          </w:p>
        </w:tc>
        <w:tc>
          <w:tcPr>
            <w:tcW w:w="1846" w:type="dxa"/>
            <w:shd w:val="clear" w:color="auto" w:fill="auto"/>
          </w:tcPr>
          <w:p w:rsidR="007A2219" w:rsidRPr="00BE0CC6" w:rsidRDefault="007A2219" w:rsidP="007A2219">
            <w:pPr>
              <w:spacing w:after="0"/>
              <w:jc w:val="both"/>
              <w:rPr>
                <w:rFonts w:cs="Tahoma"/>
                <w:szCs w:val="22"/>
              </w:rPr>
            </w:pPr>
            <w:r w:rsidRPr="00BE0CC6">
              <w:rPr>
                <w:rFonts w:cs="Tahoma"/>
                <w:szCs w:val="22"/>
              </w:rPr>
              <w:t>Members SHoA/MDAs</w:t>
            </w:r>
          </w:p>
        </w:tc>
      </w:tr>
      <w:tr w:rsidR="007A2219" w:rsidTr="00CF2199">
        <w:trPr>
          <w:trHeight w:val="20"/>
        </w:trPr>
        <w:tc>
          <w:tcPr>
            <w:tcW w:w="620" w:type="dxa"/>
            <w:vMerge/>
          </w:tcPr>
          <w:p w:rsidR="007A2219" w:rsidRPr="00BE0CC6" w:rsidRDefault="007A2219" w:rsidP="007A2219">
            <w:pPr>
              <w:spacing w:after="0"/>
              <w:jc w:val="both"/>
              <w:rPr>
                <w:rFonts w:cs="Tahoma"/>
                <w:szCs w:val="22"/>
              </w:rPr>
            </w:pPr>
          </w:p>
        </w:tc>
        <w:tc>
          <w:tcPr>
            <w:tcW w:w="1738" w:type="dxa"/>
            <w:vMerge/>
          </w:tcPr>
          <w:p w:rsidR="007A2219" w:rsidRPr="00BE0CC6" w:rsidRDefault="007A2219" w:rsidP="007A2219">
            <w:pPr>
              <w:spacing w:after="0"/>
              <w:jc w:val="both"/>
              <w:rPr>
                <w:rFonts w:cs="Tahoma"/>
                <w:szCs w:val="22"/>
              </w:rPr>
            </w:pPr>
          </w:p>
        </w:tc>
        <w:tc>
          <w:tcPr>
            <w:tcW w:w="2982" w:type="dxa"/>
          </w:tcPr>
          <w:p w:rsidR="007A2219" w:rsidRPr="00BE0CC6" w:rsidRDefault="007A2219" w:rsidP="007A2219">
            <w:pPr>
              <w:spacing w:after="0"/>
              <w:jc w:val="both"/>
              <w:rPr>
                <w:rFonts w:cs="Tahoma"/>
                <w:szCs w:val="22"/>
              </w:rPr>
            </w:pPr>
            <w:r>
              <w:rPr>
                <w:rFonts w:cs="Tahoma"/>
                <w:szCs w:val="22"/>
              </w:rPr>
              <w:t>(c) Passing of</w:t>
            </w:r>
            <w:r w:rsidR="00084BBA">
              <w:rPr>
                <w:rFonts w:cs="Tahoma"/>
                <w:szCs w:val="22"/>
              </w:rPr>
              <w:t xml:space="preserve"> the Year 2022</w:t>
            </w:r>
            <w:r w:rsidRPr="00BE0CC6">
              <w:rPr>
                <w:rFonts w:cs="Tahoma"/>
                <w:szCs w:val="22"/>
              </w:rPr>
              <w:t xml:space="preserve"> Appropriation Bill</w:t>
            </w:r>
          </w:p>
        </w:tc>
        <w:tc>
          <w:tcPr>
            <w:tcW w:w="1369" w:type="dxa"/>
          </w:tcPr>
          <w:p w:rsidR="007A2219" w:rsidRPr="00BE0CC6" w:rsidRDefault="007A2219" w:rsidP="007A2219">
            <w:pPr>
              <w:spacing w:after="0"/>
              <w:jc w:val="both"/>
              <w:rPr>
                <w:rFonts w:cs="Tahoma"/>
                <w:szCs w:val="22"/>
              </w:rPr>
            </w:pPr>
            <w:r w:rsidRPr="00BE0CC6">
              <w:rPr>
                <w:rFonts w:cs="Tahoma"/>
                <w:szCs w:val="22"/>
              </w:rPr>
              <w:t>December</w:t>
            </w:r>
            <w:r>
              <w:rPr>
                <w:rFonts w:cs="Tahoma"/>
                <w:szCs w:val="22"/>
              </w:rPr>
              <w:t xml:space="preserve"> 202</w:t>
            </w:r>
            <w:r w:rsidR="00084BBA">
              <w:rPr>
                <w:rFonts w:cs="Tahoma"/>
                <w:szCs w:val="22"/>
              </w:rPr>
              <w:t>1</w:t>
            </w:r>
          </w:p>
        </w:tc>
        <w:tc>
          <w:tcPr>
            <w:tcW w:w="1931" w:type="dxa"/>
          </w:tcPr>
          <w:p w:rsidR="007A2219" w:rsidRPr="00BE0CC6" w:rsidRDefault="007A2219" w:rsidP="007A2219">
            <w:pPr>
              <w:spacing w:after="0"/>
              <w:jc w:val="both"/>
              <w:rPr>
                <w:rFonts w:cs="Tahoma"/>
                <w:szCs w:val="22"/>
              </w:rPr>
            </w:pPr>
            <w:r w:rsidRPr="00BE0CC6">
              <w:rPr>
                <w:rFonts w:cs="Tahoma"/>
                <w:szCs w:val="22"/>
              </w:rPr>
              <w:t>SHoA</w:t>
            </w:r>
          </w:p>
        </w:tc>
        <w:tc>
          <w:tcPr>
            <w:tcW w:w="1846" w:type="dxa"/>
          </w:tcPr>
          <w:p w:rsidR="007A2219" w:rsidRPr="00BE0CC6" w:rsidRDefault="007A2219" w:rsidP="007A2219">
            <w:pPr>
              <w:spacing w:after="0"/>
              <w:jc w:val="both"/>
              <w:rPr>
                <w:rFonts w:cs="Tahoma"/>
                <w:szCs w:val="22"/>
              </w:rPr>
            </w:pPr>
            <w:r w:rsidRPr="00BE0CC6">
              <w:rPr>
                <w:rFonts w:cs="Tahoma"/>
                <w:szCs w:val="22"/>
              </w:rPr>
              <w:t>Members</w:t>
            </w:r>
          </w:p>
        </w:tc>
      </w:tr>
      <w:tr w:rsidR="007A2219" w:rsidTr="00CF2199">
        <w:trPr>
          <w:trHeight w:val="20"/>
        </w:trPr>
        <w:tc>
          <w:tcPr>
            <w:tcW w:w="620" w:type="dxa"/>
            <w:vMerge w:val="restart"/>
          </w:tcPr>
          <w:p w:rsidR="007A2219" w:rsidRPr="00BE0CC6" w:rsidRDefault="007A2219" w:rsidP="007A2219">
            <w:pPr>
              <w:spacing w:after="0"/>
              <w:jc w:val="both"/>
              <w:rPr>
                <w:rFonts w:cs="Tahoma"/>
                <w:szCs w:val="22"/>
              </w:rPr>
            </w:pPr>
            <w:r w:rsidRPr="00BE0CC6">
              <w:rPr>
                <w:rFonts w:cs="Tahoma"/>
                <w:szCs w:val="22"/>
              </w:rPr>
              <w:t>6</w:t>
            </w:r>
          </w:p>
        </w:tc>
        <w:tc>
          <w:tcPr>
            <w:tcW w:w="1738" w:type="dxa"/>
            <w:vMerge w:val="restart"/>
          </w:tcPr>
          <w:p w:rsidR="007A2219" w:rsidRPr="00BE0CC6" w:rsidRDefault="007A2219" w:rsidP="007A2219">
            <w:pPr>
              <w:spacing w:after="0"/>
              <w:jc w:val="both"/>
              <w:rPr>
                <w:rFonts w:cs="Tahoma"/>
                <w:szCs w:val="22"/>
              </w:rPr>
            </w:pPr>
            <w:r w:rsidRPr="00BE0CC6">
              <w:rPr>
                <w:rFonts w:cs="Tahoma"/>
                <w:szCs w:val="22"/>
              </w:rPr>
              <w:t>Appropriation Law</w:t>
            </w:r>
          </w:p>
        </w:tc>
        <w:tc>
          <w:tcPr>
            <w:tcW w:w="2982" w:type="dxa"/>
          </w:tcPr>
          <w:p w:rsidR="007A2219" w:rsidRPr="00BE0CC6" w:rsidRDefault="007A2219" w:rsidP="007A2219">
            <w:pPr>
              <w:spacing w:after="0"/>
              <w:jc w:val="both"/>
              <w:rPr>
                <w:rFonts w:cs="Tahoma"/>
                <w:szCs w:val="22"/>
              </w:rPr>
            </w:pPr>
            <w:r w:rsidRPr="00BE0CC6">
              <w:rPr>
                <w:rFonts w:cs="Tahoma"/>
                <w:szCs w:val="22"/>
              </w:rPr>
              <w:t>(a) Production of the Appropriation Law</w:t>
            </w:r>
          </w:p>
        </w:tc>
        <w:tc>
          <w:tcPr>
            <w:tcW w:w="1369" w:type="dxa"/>
          </w:tcPr>
          <w:p w:rsidR="007A2219" w:rsidRPr="00BE0CC6" w:rsidRDefault="007A2219" w:rsidP="007A2219">
            <w:pPr>
              <w:spacing w:after="0"/>
              <w:jc w:val="both"/>
              <w:rPr>
                <w:rFonts w:cs="Tahoma"/>
                <w:szCs w:val="22"/>
              </w:rPr>
            </w:pPr>
            <w:r>
              <w:rPr>
                <w:rFonts w:cs="Tahoma"/>
                <w:szCs w:val="22"/>
              </w:rPr>
              <w:t>December 202</w:t>
            </w:r>
            <w:r w:rsidR="00084BBA">
              <w:rPr>
                <w:rFonts w:cs="Tahoma"/>
                <w:szCs w:val="22"/>
              </w:rPr>
              <w:t>1</w:t>
            </w:r>
          </w:p>
        </w:tc>
        <w:tc>
          <w:tcPr>
            <w:tcW w:w="1931" w:type="dxa"/>
          </w:tcPr>
          <w:p w:rsidR="007A2219" w:rsidRPr="00BE0CC6" w:rsidRDefault="007A2219" w:rsidP="007A2219">
            <w:pPr>
              <w:spacing w:after="0"/>
              <w:jc w:val="both"/>
              <w:rPr>
                <w:rFonts w:cs="Tahoma"/>
                <w:szCs w:val="22"/>
              </w:rPr>
            </w:pPr>
            <w:r w:rsidRPr="00BE0CC6">
              <w:rPr>
                <w:rFonts w:cs="Tahoma"/>
                <w:szCs w:val="22"/>
              </w:rPr>
              <w:t>SHoA</w:t>
            </w:r>
          </w:p>
        </w:tc>
        <w:tc>
          <w:tcPr>
            <w:tcW w:w="1846" w:type="dxa"/>
          </w:tcPr>
          <w:p w:rsidR="007A2219" w:rsidRPr="00BE0CC6" w:rsidRDefault="007A2219" w:rsidP="007A2219">
            <w:pPr>
              <w:spacing w:after="0"/>
              <w:jc w:val="both"/>
              <w:rPr>
                <w:rFonts w:cs="Tahoma"/>
                <w:szCs w:val="22"/>
              </w:rPr>
            </w:pPr>
            <w:r w:rsidRPr="00BE0CC6">
              <w:rPr>
                <w:rFonts w:cs="Tahoma"/>
                <w:szCs w:val="22"/>
              </w:rPr>
              <w:t>Members</w:t>
            </w:r>
          </w:p>
        </w:tc>
      </w:tr>
      <w:tr w:rsidR="007A2219" w:rsidTr="00CF2199">
        <w:trPr>
          <w:trHeight w:val="20"/>
        </w:trPr>
        <w:tc>
          <w:tcPr>
            <w:tcW w:w="620" w:type="dxa"/>
            <w:vMerge/>
          </w:tcPr>
          <w:p w:rsidR="007A2219" w:rsidRPr="00BE0CC6" w:rsidRDefault="007A2219" w:rsidP="007A2219">
            <w:pPr>
              <w:spacing w:after="0"/>
              <w:jc w:val="both"/>
              <w:rPr>
                <w:rFonts w:cs="Tahoma"/>
                <w:szCs w:val="22"/>
              </w:rPr>
            </w:pPr>
          </w:p>
        </w:tc>
        <w:tc>
          <w:tcPr>
            <w:tcW w:w="1738" w:type="dxa"/>
            <w:vMerge/>
          </w:tcPr>
          <w:p w:rsidR="007A2219" w:rsidRPr="00BE0CC6" w:rsidRDefault="007A2219" w:rsidP="007A2219">
            <w:pPr>
              <w:spacing w:after="0"/>
              <w:jc w:val="both"/>
              <w:rPr>
                <w:rFonts w:cs="Tahoma"/>
                <w:szCs w:val="22"/>
              </w:rPr>
            </w:pPr>
          </w:p>
        </w:tc>
        <w:tc>
          <w:tcPr>
            <w:tcW w:w="2982" w:type="dxa"/>
          </w:tcPr>
          <w:p w:rsidR="007A2219" w:rsidRPr="00BE0CC6" w:rsidRDefault="00141942" w:rsidP="007A2219">
            <w:pPr>
              <w:spacing w:after="0"/>
              <w:jc w:val="both"/>
              <w:rPr>
                <w:rFonts w:cs="Tahoma"/>
                <w:szCs w:val="22"/>
              </w:rPr>
            </w:pPr>
            <w:r>
              <w:rPr>
                <w:rFonts w:cs="Tahoma"/>
                <w:szCs w:val="22"/>
              </w:rPr>
              <w:t>(b) Assent of Year 2022</w:t>
            </w:r>
            <w:r w:rsidR="007A2219" w:rsidRPr="00BE0CC6">
              <w:rPr>
                <w:rFonts w:cs="Tahoma"/>
                <w:szCs w:val="22"/>
              </w:rPr>
              <w:t xml:space="preserve"> Budget by the Governor</w:t>
            </w:r>
          </w:p>
        </w:tc>
        <w:tc>
          <w:tcPr>
            <w:tcW w:w="1369" w:type="dxa"/>
          </w:tcPr>
          <w:p w:rsidR="007A2219" w:rsidRPr="00BE0CC6" w:rsidRDefault="007A2219" w:rsidP="007A2219">
            <w:pPr>
              <w:spacing w:after="0"/>
              <w:jc w:val="both"/>
              <w:rPr>
                <w:rFonts w:cs="Tahoma"/>
                <w:szCs w:val="22"/>
              </w:rPr>
            </w:pPr>
            <w:r>
              <w:rPr>
                <w:rFonts w:cs="Tahoma"/>
                <w:szCs w:val="22"/>
              </w:rPr>
              <w:t>December 202</w:t>
            </w:r>
            <w:r w:rsidR="00084BBA">
              <w:rPr>
                <w:rFonts w:cs="Tahoma"/>
                <w:szCs w:val="22"/>
              </w:rPr>
              <w:t>1</w:t>
            </w:r>
          </w:p>
        </w:tc>
        <w:tc>
          <w:tcPr>
            <w:tcW w:w="1931" w:type="dxa"/>
          </w:tcPr>
          <w:p w:rsidR="007A2219" w:rsidRPr="00BE0CC6" w:rsidRDefault="007A2219" w:rsidP="007A2219">
            <w:pPr>
              <w:spacing w:after="0"/>
              <w:jc w:val="both"/>
              <w:rPr>
                <w:rFonts w:cs="Tahoma"/>
                <w:szCs w:val="22"/>
              </w:rPr>
            </w:pPr>
            <w:r w:rsidRPr="00BE0CC6">
              <w:rPr>
                <w:rFonts w:cs="Tahoma"/>
                <w:szCs w:val="22"/>
              </w:rPr>
              <w:t>Governor’s Office</w:t>
            </w:r>
          </w:p>
        </w:tc>
        <w:tc>
          <w:tcPr>
            <w:tcW w:w="1846" w:type="dxa"/>
          </w:tcPr>
          <w:p w:rsidR="007A2219" w:rsidRPr="00BE0CC6" w:rsidRDefault="007A2219" w:rsidP="007A2219">
            <w:pPr>
              <w:spacing w:after="0"/>
              <w:jc w:val="both"/>
              <w:rPr>
                <w:rFonts w:cs="Tahoma"/>
                <w:szCs w:val="22"/>
              </w:rPr>
            </w:pPr>
            <w:r w:rsidRPr="00BE0CC6">
              <w:rPr>
                <w:rFonts w:cs="Tahoma"/>
                <w:szCs w:val="22"/>
              </w:rPr>
              <w:t>His Excellency</w:t>
            </w:r>
          </w:p>
        </w:tc>
      </w:tr>
      <w:tr w:rsidR="007A2219" w:rsidTr="00CF2199">
        <w:trPr>
          <w:trHeight w:val="20"/>
        </w:trPr>
        <w:tc>
          <w:tcPr>
            <w:tcW w:w="620" w:type="dxa"/>
            <w:vMerge/>
          </w:tcPr>
          <w:p w:rsidR="007A2219" w:rsidRPr="00BE0CC6" w:rsidRDefault="007A2219" w:rsidP="007A2219">
            <w:pPr>
              <w:spacing w:after="0"/>
              <w:jc w:val="both"/>
              <w:rPr>
                <w:rFonts w:cs="Tahoma"/>
                <w:szCs w:val="22"/>
              </w:rPr>
            </w:pPr>
          </w:p>
        </w:tc>
        <w:tc>
          <w:tcPr>
            <w:tcW w:w="1738" w:type="dxa"/>
            <w:vMerge/>
          </w:tcPr>
          <w:p w:rsidR="007A2219" w:rsidRPr="00BE0CC6" w:rsidRDefault="007A2219" w:rsidP="007A2219">
            <w:pPr>
              <w:spacing w:after="0"/>
              <w:jc w:val="both"/>
              <w:rPr>
                <w:rFonts w:cs="Tahoma"/>
                <w:szCs w:val="22"/>
              </w:rPr>
            </w:pPr>
          </w:p>
        </w:tc>
        <w:tc>
          <w:tcPr>
            <w:tcW w:w="2982" w:type="dxa"/>
          </w:tcPr>
          <w:p w:rsidR="007A2219" w:rsidRPr="00BE0CC6" w:rsidRDefault="007A2219" w:rsidP="007A2219">
            <w:pPr>
              <w:spacing w:after="0"/>
              <w:jc w:val="both"/>
              <w:rPr>
                <w:rFonts w:cs="Tahoma"/>
                <w:szCs w:val="22"/>
              </w:rPr>
            </w:pPr>
            <w:r w:rsidRPr="00BE0CC6">
              <w:rPr>
                <w:rFonts w:cs="Tahoma"/>
                <w:szCs w:val="22"/>
              </w:rPr>
              <w:t>(c) Uploading Approved Budget onto the Budget Portal</w:t>
            </w:r>
          </w:p>
        </w:tc>
        <w:tc>
          <w:tcPr>
            <w:tcW w:w="1369" w:type="dxa"/>
          </w:tcPr>
          <w:p w:rsidR="007A2219" w:rsidRPr="00BE0CC6" w:rsidRDefault="007A2219" w:rsidP="007A2219">
            <w:pPr>
              <w:spacing w:after="0"/>
              <w:jc w:val="both"/>
              <w:rPr>
                <w:rFonts w:cs="Tahoma"/>
                <w:szCs w:val="22"/>
              </w:rPr>
            </w:pPr>
            <w:r>
              <w:rPr>
                <w:rFonts w:cs="Tahoma"/>
                <w:szCs w:val="22"/>
              </w:rPr>
              <w:t>December, 202</w:t>
            </w:r>
            <w:r w:rsidR="00084BBA">
              <w:rPr>
                <w:rFonts w:cs="Tahoma"/>
                <w:szCs w:val="22"/>
              </w:rPr>
              <w:t>1</w:t>
            </w:r>
          </w:p>
        </w:tc>
        <w:tc>
          <w:tcPr>
            <w:tcW w:w="1931" w:type="dxa"/>
          </w:tcPr>
          <w:p w:rsidR="007A2219" w:rsidRPr="00BE0CC6" w:rsidRDefault="007A2219" w:rsidP="007A2219">
            <w:pPr>
              <w:spacing w:after="0"/>
              <w:jc w:val="both"/>
              <w:rPr>
                <w:rFonts w:cs="Tahoma"/>
                <w:szCs w:val="22"/>
              </w:rPr>
            </w:pPr>
            <w:r>
              <w:rPr>
                <w:rFonts w:cs="Tahoma"/>
                <w:szCs w:val="22"/>
              </w:rPr>
              <w:t>MFB&amp;EP</w:t>
            </w:r>
          </w:p>
        </w:tc>
        <w:tc>
          <w:tcPr>
            <w:tcW w:w="1846" w:type="dxa"/>
          </w:tcPr>
          <w:p w:rsidR="007A2219" w:rsidRPr="00BE0CC6" w:rsidRDefault="007A2219" w:rsidP="007A2219">
            <w:pPr>
              <w:spacing w:after="0"/>
              <w:jc w:val="both"/>
              <w:rPr>
                <w:rFonts w:cs="Tahoma"/>
                <w:szCs w:val="22"/>
              </w:rPr>
            </w:pPr>
            <w:r w:rsidRPr="00BE0CC6">
              <w:rPr>
                <w:rFonts w:cs="Tahoma"/>
                <w:szCs w:val="22"/>
              </w:rPr>
              <w:t>Permanent Secretary</w:t>
            </w:r>
          </w:p>
        </w:tc>
      </w:tr>
      <w:tr w:rsidR="007A2219" w:rsidTr="00CF2199">
        <w:trPr>
          <w:trHeight w:val="20"/>
        </w:trPr>
        <w:tc>
          <w:tcPr>
            <w:tcW w:w="620" w:type="dxa"/>
            <w:vMerge/>
          </w:tcPr>
          <w:p w:rsidR="007A2219" w:rsidRPr="00BE0CC6" w:rsidRDefault="007A2219" w:rsidP="007A2219">
            <w:pPr>
              <w:spacing w:after="0"/>
              <w:jc w:val="both"/>
              <w:rPr>
                <w:rFonts w:cs="Tahoma"/>
                <w:szCs w:val="22"/>
              </w:rPr>
            </w:pPr>
          </w:p>
        </w:tc>
        <w:tc>
          <w:tcPr>
            <w:tcW w:w="1738" w:type="dxa"/>
            <w:vMerge/>
          </w:tcPr>
          <w:p w:rsidR="007A2219" w:rsidRPr="00BE0CC6" w:rsidRDefault="007A2219" w:rsidP="007A2219">
            <w:pPr>
              <w:spacing w:after="0"/>
              <w:jc w:val="both"/>
              <w:rPr>
                <w:rFonts w:cs="Tahoma"/>
                <w:szCs w:val="22"/>
              </w:rPr>
            </w:pPr>
          </w:p>
        </w:tc>
        <w:tc>
          <w:tcPr>
            <w:tcW w:w="2982" w:type="dxa"/>
          </w:tcPr>
          <w:p w:rsidR="007A2219" w:rsidRPr="00BE0CC6" w:rsidRDefault="007A2219" w:rsidP="007A2219">
            <w:pPr>
              <w:spacing w:after="0"/>
              <w:jc w:val="both"/>
              <w:rPr>
                <w:rFonts w:cs="Tahoma"/>
                <w:szCs w:val="22"/>
              </w:rPr>
            </w:pPr>
            <w:r w:rsidRPr="00BE0CC6">
              <w:rPr>
                <w:rFonts w:cs="Tahoma"/>
                <w:szCs w:val="22"/>
              </w:rPr>
              <w:t>(d) Printing and Publishing of Approved Budget</w:t>
            </w:r>
          </w:p>
        </w:tc>
        <w:tc>
          <w:tcPr>
            <w:tcW w:w="1369" w:type="dxa"/>
          </w:tcPr>
          <w:p w:rsidR="007A2219" w:rsidRPr="00BE0CC6" w:rsidRDefault="007A2219" w:rsidP="007A2219">
            <w:pPr>
              <w:spacing w:after="0"/>
              <w:jc w:val="both"/>
              <w:rPr>
                <w:rFonts w:cs="Tahoma"/>
                <w:szCs w:val="22"/>
              </w:rPr>
            </w:pPr>
            <w:r>
              <w:rPr>
                <w:rFonts w:cs="Tahoma"/>
                <w:szCs w:val="22"/>
              </w:rPr>
              <w:t>January, 202</w:t>
            </w:r>
            <w:r w:rsidR="00084BBA">
              <w:rPr>
                <w:rFonts w:cs="Tahoma"/>
                <w:szCs w:val="22"/>
              </w:rPr>
              <w:t>2</w:t>
            </w:r>
          </w:p>
        </w:tc>
        <w:tc>
          <w:tcPr>
            <w:tcW w:w="1931" w:type="dxa"/>
          </w:tcPr>
          <w:p w:rsidR="007A2219" w:rsidRPr="00BE0CC6" w:rsidRDefault="007A2219" w:rsidP="007A2219">
            <w:pPr>
              <w:spacing w:after="0"/>
              <w:jc w:val="both"/>
              <w:rPr>
                <w:rFonts w:cs="Tahoma"/>
                <w:szCs w:val="22"/>
              </w:rPr>
            </w:pPr>
            <w:r>
              <w:rPr>
                <w:rFonts w:cs="Tahoma"/>
                <w:szCs w:val="22"/>
              </w:rPr>
              <w:t>MFB&amp;EP</w:t>
            </w:r>
          </w:p>
        </w:tc>
        <w:tc>
          <w:tcPr>
            <w:tcW w:w="1846" w:type="dxa"/>
          </w:tcPr>
          <w:p w:rsidR="007A2219" w:rsidRPr="00BE0CC6" w:rsidRDefault="007A2219" w:rsidP="007A2219">
            <w:pPr>
              <w:spacing w:after="0"/>
              <w:jc w:val="both"/>
              <w:rPr>
                <w:rFonts w:cs="Tahoma"/>
                <w:szCs w:val="22"/>
              </w:rPr>
            </w:pPr>
            <w:r w:rsidRPr="00BE0CC6">
              <w:rPr>
                <w:rFonts w:cs="Tahoma"/>
                <w:szCs w:val="22"/>
              </w:rPr>
              <w:t>Permanent Secretary</w:t>
            </w:r>
          </w:p>
        </w:tc>
      </w:tr>
      <w:tr w:rsidR="006A78C7" w:rsidTr="00ED6D5B">
        <w:trPr>
          <w:trHeight w:val="917"/>
        </w:trPr>
        <w:tc>
          <w:tcPr>
            <w:tcW w:w="620" w:type="dxa"/>
          </w:tcPr>
          <w:p w:rsidR="006A78C7" w:rsidRPr="00BE0CC6" w:rsidRDefault="006A78C7" w:rsidP="007A2219">
            <w:pPr>
              <w:spacing w:after="0"/>
              <w:jc w:val="both"/>
              <w:rPr>
                <w:rFonts w:cs="Tahoma"/>
                <w:szCs w:val="22"/>
              </w:rPr>
            </w:pPr>
            <w:r w:rsidRPr="00BE0CC6">
              <w:rPr>
                <w:rFonts w:cs="Tahoma"/>
                <w:szCs w:val="22"/>
              </w:rPr>
              <w:t>7</w:t>
            </w:r>
          </w:p>
        </w:tc>
        <w:tc>
          <w:tcPr>
            <w:tcW w:w="1738" w:type="dxa"/>
          </w:tcPr>
          <w:p w:rsidR="006A78C7" w:rsidRPr="00BE0CC6" w:rsidRDefault="006A78C7" w:rsidP="007A2219">
            <w:pPr>
              <w:spacing w:after="0"/>
              <w:jc w:val="both"/>
              <w:rPr>
                <w:rFonts w:cs="Tahoma"/>
                <w:szCs w:val="22"/>
              </w:rPr>
            </w:pPr>
            <w:r>
              <w:rPr>
                <w:rFonts w:cs="Tahoma"/>
                <w:szCs w:val="22"/>
              </w:rPr>
              <w:t>Execution of Year 2022</w:t>
            </w:r>
            <w:r w:rsidRPr="00BE0CC6">
              <w:rPr>
                <w:rFonts w:cs="Tahoma"/>
                <w:szCs w:val="22"/>
              </w:rPr>
              <w:t xml:space="preserve"> Budget.</w:t>
            </w:r>
          </w:p>
        </w:tc>
        <w:tc>
          <w:tcPr>
            <w:tcW w:w="2982" w:type="dxa"/>
          </w:tcPr>
          <w:p w:rsidR="006A78C7" w:rsidRPr="00BE0CC6" w:rsidRDefault="006A78C7" w:rsidP="007A2219">
            <w:pPr>
              <w:spacing w:after="0"/>
              <w:jc w:val="both"/>
              <w:rPr>
                <w:rFonts w:cs="Tahoma"/>
                <w:szCs w:val="22"/>
              </w:rPr>
            </w:pPr>
            <w:r>
              <w:rPr>
                <w:rFonts w:cs="Tahoma"/>
                <w:szCs w:val="22"/>
              </w:rPr>
              <w:t>(a) Year 2022</w:t>
            </w:r>
            <w:r w:rsidRPr="00BE0CC6">
              <w:rPr>
                <w:rFonts w:cs="Tahoma"/>
                <w:szCs w:val="22"/>
              </w:rPr>
              <w:t xml:space="preserve"> Budget Analysis</w:t>
            </w:r>
            <w:r w:rsidR="00DB6FE5">
              <w:rPr>
                <w:rFonts w:cs="Tahoma"/>
                <w:szCs w:val="22"/>
              </w:rPr>
              <w:t xml:space="preserve"> (Budget Breakdown)</w:t>
            </w:r>
          </w:p>
        </w:tc>
        <w:tc>
          <w:tcPr>
            <w:tcW w:w="1369" w:type="dxa"/>
          </w:tcPr>
          <w:p w:rsidR="006A78C7" w:rsidRPr="00BE0CC6" w:rsidRDefault="006A78C7" w:rsidP="007A2219">
            <w:pPr>
              <w:spacing w:after="0"/>
              <w:jc w:val="both"/>
              <w:rPr>
                <w:rFonts w:cs="Tahoma"/>
                <w:szCs w:val="22"/>
              </w:rPr>
            </w:pPr>
            <w:r>
              <w:rPr>
                <w:rFonts w:cs="Tahoma"/>
                <w:szCs w:val="22"/>
              </w:rPr>
              <w:t>January, 2022</w:t>
            </w:r>
          </w:p>
        </w:tc>
        <w:tc>
          <w:tcPr>
            <w:tcW w:w="1931" w:type="dxa"/>
          </w:tcPr>
          <w:p w:rsidR="006A78C7" w:rsidRPr="00BE0CC6" w:rsidRDefault="006A78C7" w:rsidP="007A2219">
            <w:pPr>
              <w:spacing w:after="0"/>
              <w:jc w:val="both"/>
              <w:rPr>
                <w:rFonts w:cs="Tahoma"/>
                <w:szCs w:val="22"/>
              </w:rPr>
            </w:pPr>
            <w:r>
              <w:rPr>
                <w:rFonts w:cs="Tahoma"/>
                <w:szCs w:val="22"/>
              </w:rPr>
              <w:t>MFB&amp;EP</w:t>
            </w:r>
            <w:r w:rsidRPr="00BE0CC6">
              <w:rPr>
                <w:rFonts w:cs="Tahoma"/>
                <w:szCs w:val="22"/>
              </w:rPr>
              <w:t>(Budget Dept.)</w:t>
            </w:r>
          </w:p>
        </w:tc>
        <w:tc>
          <w:tcPr>
            <w:tcW w:w="1846" w:type="dxa"/>
          </w:tcPr>
          <w:p w:rsidR="006A78C7" w:rsidRPr="00BE0CC6" w:rsidRDefault="006A78C7" w:rsidP="007A2219">
            <w:pPr>
              <w:spacing w:after="0"/>
              <w:jc w:val="both"/>
              <w:rPr>
                <w:rFonts w:cs="Tahoma"/>
                <w:szCs w:val="22"/>
              </w:rPr>
            </w:pPr>
            <w:r w:rsidRPr="00BE0CC6">
              <w:rPr>
                <w:rFonts w:cs="Tahoma"/>
                <w:szCs w:val="22"/>
              </w:rPr>
              <w:t xml:space="preserve">HC </w:t>
            </w:r>
            <w:r>
              <w:rPr>
                <w:rFonts w:cs="Tahoma"/>
                <w:szCs w:val="22"/>
              </w:rPr>
              <w:t>MFB&amp;EP</w:t>
            </w:r>
          </w:p>
        </w:tc>
      </w:tr>
      <w:tr w:rsidR="007A2219" w:rsidTr="00CF2199">
        <w:trPr>
          <w:trHeight w:val="20"/>
        </w:trPr>
        <w:tc>
          <w:tcPr>
            <w:tcW w:w="620" w:type="dxa"/>
          </w:tcPr>
          <w:p w:rsidR="007A2219" w:rsidRPr="00BE0CC6" w:rsidRDefault="007A2219" w:rsidP="007A2219">
            <w:pPr>
              <w:spacing w:after="0"/>
              <w:jc w:val="both"/>
              <w:rPr>
                <w:rFonts w:cs="Tahoma"/>
                <w:szCs w:val="22"/>
              </w:rPr>
            </w:pPr>
            <w:r w:rsidRPr="00BE0CC6">
              <w:rPr>
                <w:rFonts w:cs="Tahoma"/>
                <w:szCs w:val="22"/>
              </w:rPr>
              <w:t>8</w:t>
            </w:r>
          </w:p>
        </w:tc>
        <w:tc>
          <w:tcPr>
            <w:tcW w:w="1738" w:type="dxa"/>
          </w:tcPr>
          <w:p w:rsidR="007A2219" w:rsidRPr="00BE0CC6" w:rsidRDefault="006A78C7" w:rsidP="007A2219">
            <w:pPr>
              <w:spacing w:after="0"/>
              <w:jc w:val="both"/>
              <w:rPr>
                <w:rFonts w:cs="Tahoma"/>
                <w:szCs w:val="22"/>
              </w:rPr>
            </w:pPr>
            <w:r>
              <w:rPr>
                <w:rFonts w:cs="Tahoma"/>
                <w:szCs w:val="22"/>
              </w:rPr>
              <w:t>Conclusion of Year 2021</w:t>
            </w:r>
            <w:r w:rsidR="007A2219" w:rsidRPr="00BE0CC6">
              <w:rPr>
                <w:rFonts w:cs="Tahoma"/>
                <w:szCs w:val="22"/>
              </w:rPr>
              <w:t xml:space="preserve"> Budget</w:t>
            </w:r>
          </w:p>
        </w:tc>
        <w:tc>
          <w:tcPr>
            <w:tcW w:w="2982" w:type="dxa"/>
          </w:tcPr>
          <w:p w:rsidR="007A2219" w:rsidRPr="00BE0CC6" w:rsidRDefault="006A78C7" w:rsidP="007A2219">
            <w:pPr>
              <w:spacing w:after="0"/>
              <w:jc w:val="both"/>
              <w:rPr>
                <w:rFonts w:cs="Tahoma"/>
                <w:szCs w:val="22"/>
              </w:rPr>
            </w:pPr>
            <w:r>
              <w:rPr>
                <w:rFonts w:cs="Tahoma"/>
                <w:szCs w:val="22"/>
              </w:rPr>
              <w:t>(a) Year 2021</w:t>
            </w:r>
            <w:r w:rsidR="007A2219" w:rsidRPr="00BE0CC6">
              <w:rPr>
                <w:rFonts w:cs="Tahoma"/>
                <w:szCs w:val="22"/>
              </w:rPr>
              <w:t xml:space="preserve"> Budget Performance Appraisal for the 4th Quarter/Full Year</w:t>
            </w:r>
          </w:p>
        </w:tc>
        <w:tc>
          <w:tcPr>
            <w:tcW w:w="1369" w:type="dxa"/>
          </w:tcPr>
          <w:p w:rsidR="007A2219" w:rsidRPr="00BE0CC6" w:rsidRDefault="007A2219" w:rsidP="007A2219">
            <w:pPr>
              <w:spacing w:after="0"/>
              <w:jc w:val="both"/>
              <w:rPr>
                <w:rFonts w:cs="Tahoma"/>
                <w:szCs w:val="22"/>
              </w:rPr>
            </w:pPr>
            <w:r>
              <w:rPr>
                <w:rFonts w:cs="Tahoma"/>
                <w:szCs w:val="22"/>
              </w:rPr>
              <w:t>28th January, 202</w:t>
            </w:r>
            <w:r w:rsidR="006A78C7">
              <w:rPr>
                <w:rFonts w:cs="Tahoma"/>
                <w:szCs w:val="22"/>
              </w:rPr>
              <w:t>2</w:t>
            </w:r>
          </w:p>
        </w:tc>
        <w:tc>
          <w:tcPr>
            <w:tcW w:w="1931" w:type="dxa"/>
          </w:tcPr>
          <w:p w:rsidR="007A2219" w:rsidRPr="00BE0CC6" w:rsidRDefault="007A2219" w:rsidP="007A2219">
            <w:pPr>
              <w:spacing w:after="0"/>
              <w:jc w:val="both"/>
              <w:rPr>
                <w:rFonts w:cs="Tahoma"/>
                <w:szCs w:val="22"/>
              </w:rPr>
            </w:pPr>
            <w:r>
              <w:rPr>
                <w:rFonts w:cs="Tahoma"/>
                <w:szCs w:val="22"/>
              </w:rPr>
              <w:t>MFB&amp;EP</w:t>
            </w:r>
            <w:r w:rsidRPr="00BE0CC6">
              <w:rPr>
                <w:rFonts w:cs="Tahoma"/>
                <w:szCs w:val="22"/>
              </w:rPr>
              <w:t>(Director Budget)</w:t>
            </w:r>
          </w:p>
        </w:tc>
        <w:tc>
          <w:tcPr>
            <w:tcW w:w="1846" w:type="dxa"/>
          </w:tcPr>
          <w:p w:rsidR="007A2219" w:rsidRPr="00BE0CC6" w:rsidRDefault="007A2219" w:rsidP="007A2219">
            <w:pPr>
              <w:spacing w:after="0"/>
              <w:jc w:val="both"/>
              <w:rPr>
                <w:rFonts w:cs="Tahoma"/>
                <w:szCs w:val="22"/>
              </w:rPr>
            </w:pPr>
            <w:r w:rsidRPr="00BE0CC6">
              <w:rPr>
                <w:rFonts w:cs="Tahoma"/>
                <w:szCs w:val="22"/>
              </w:rPr>
              <w:t xml:space="preserve">HC </w:t>
            </w:r>
            <w:r>
              <w:rPr>
                <w:rFonts w:cs="Tahoma"/>
                <w:szCs w:val="22"/>
              </w:rPr>
              <w:t>MFB&amp;EP</w:t>
            </w:r>
          </w:p>
        </w:tc>
      </w:tr>
      <w:tr w:rsidR="007A2219" w:rsidTr="00CF2199">
        <w:trPr>
          <w:trHeight w:val="20"/>
        </w:trPr>
        <w:tc>
          <w:tcPr>
            <w:tcW w:w="620" w:type="dxa"/>
          </w:tcPr>
          <w:p w:rsidR="007A2219" w:rsidRPr="00BE0CC6" w:rsidRDefault="007A2219" w:rsidP="007A2219">
            <w:pPr>
              <w:spacing w:after="0"/>
              <w:jc w:val="both"/>
              <w:rPr>
                <w:rFonts w:cs="Tahoma"/>
                <w:szCs w:val="22"/>
              </w:rPr>
            </w:pPr>
            <w:r w:rsidRPr="00BE0CC6">
              <w:rPr>
                <w:rFonts w:cs="Tahoma"/>
                <w:szCs w:val="22"/>
              </w:rPr>
              <w:t>9</w:t>
            </w:r>
          </w:p>
        </w:tc>
        <w:tc>
          <w:tcPr>
            <w:tcW w:w="1738" w:type="dxa"/>
          </w:tcPr>
          <w:p w:rsidR="007A2219" w:rsidRPr="00BE0CC6" w:rsidRDefault="007A2219" w:rsidP="007A2219">
            <w:pPr>
              <w:spacing w:after="0"/>
              <w:jc w:val="both"/>
              <w:rPr>
                <w:rFonts w:cs="Tahoma"/>
                <w:szCs w:val="22"/>
              </w:rPr>
            </w:pPr>
            <w:r>
              <w:rPr>
                <w:rFonts w:cs="Tahoma"/>
                <w:szCs w:val="22"/>
              </w:rPr>
              <w:t>Year 2021</w:t>
            </w:r>
            <w:r w:rsidRPr="00BE0CC6">
              <w:rPr>
                <w:rFonts w:cs="Tahoma"/>
                <w:szCs w:val="22"/>
              </w:rPr>
              <w:t xml:space="preserve"> Budget Execution Approvals</w:t>
            </w:r>
          </w:p>
        </w:tc>
        <w:tc>
          <w:tcPr>
            <w:tcW w:w="2982" w:type="dxa"/>
          </w:tcPr>
          <w:p w:rsidR="007A2219" w:rsidRPr="00BE0CC6" w:rsidRDefault="007A2219" w:rsidP="007A2219">
            <w:pPr>
              <w:spacing w:after="0"/>
              <w:jc w:val="both"/>
              <w:rPr>
                <w:rFonts w:cs="Tahoma"/>
                <w:szCs w:val="22"/>
              </w:rPr>
            </w:pPr>
            <w:r w:rsidRPr="00BE0CC6">
              <w:rPr>
                <w:rFonts w:cs="Tahoma"/>
                <w:szCs w:val="22"/>
              </w:rPr>
              <w:t>Request for approval of implementation of budgeted projects.</w:t>
            </w:r>
          </w:p>
        </w:tc>
        <w:tc>
          <w:tcPr>
            <w:tcW w:w="1369" w:type="dxa"/>
          </w:tcPr>
          <w:p w:rsidR="007A2219" w:rsidRPr="00BE0CC6" w:rsidRDefault="006A78C7" w:rsidP="007A2219">
            <w:pPr>
              <w:spacing w:after="0"/>
              <w:jc w:val="both"/>
              <w:rPr>
                <w:rFonts w:cs="Tahoma"/>
                <w:szCs w:val="22"/>
              </w:rPr>
            </w:pPr>
            <w:r>
              <w:rPr>
                <w:rFonts w:cs="Tahoma"/>
                <w:szCs w:val="22"/>
              </w:rPr>
              <w:t>On-going</w:t>
            </w:r>
          </w:p>
        </w:tc>
        <w:tc>
          <w:tcPr>
            <w:tcW w:w="1931" w:type="dxa"/>
          </w:tcPr>
          <w:p w:rsidR="007A2219" w:rsidRPr="00BE0CC6" w:rsidRDefault="007A2219" w:rsidP="007A2219">
            <w:pPr>
              <w:spacing w:after="0"/>
              <w:jc w:val="both"/>
              <w:rPr>
                <w:rFonts w:cs="Tahoma"/>
                <w:szCs w:val="22"/>
              </w:rPr>
            </w:pPr>
            <w:r w:rsidRPr="00BE0CC6">
              <w:rPr>
                <w:rFonts w:cs="Tahoma"/>
                <w:szCs w:val="22"/>
              </w:rPr>
              <w:t>MDAs</w:t>
            </w:r>
          </w:p>
        </w:tc>
        <w:tc>
          <w:tcPr>
            <w:tcW w:w="1846" w:type="dxa"/>
          </w:tcPr>
          <w:p w:rsidR="007A2219" w:rsidRPr="00BE0CC6" w:rsidRDefault="007A2219" w:rsidP="007A2219">
            <w:pPr>
              <w:spacing w:after="0"/>
              <w:jc w:val="both"/>
              <w:rPr>
                <w:rFonts w:cs="Tahoma"/>
                <w:szCs w:val="22"/>
              </w:rPr>
            </w:pPr>
            <w:r w:rsidRPr="00BE0CC6">
              <w:rPr>
                <w:rFonts w:cs="Tahoma"/>
                <w:szCs w:val="22"/>
              </w:rPr>
              <w:t xml:space="preserve">HC </w:t>
            </w:r>
            <w:r>
              <w:rPr>
                <w:rFonts w:cs="Tahoma"/>
                <w:szCs w:val="22"/>
              </w:rPr>
              <w:t>MFB&amp;EP</w:t>
            </w:r>
          </w:p>
        </w:tc>
      </w:tr>
      <w:tr w:rsidR="007A2219" w:rsidTr="00CF2199">
        <w:trPr>
          <w:trHeight w:val="20"/>
        </w:trPr>
        <w:tc>
          <w:tcPr>
            <w:tcW w:w="620" w:type="dxa"/>
          </w:tcPr>
          <w:p w:rsidR="007A2219" w:rsidRPr="00BE0CC6" w:rsidRDefault="007A2219" w:rsidP="007A2219">
            <w:pPr>
              <w:spacing w:after="0"/>
              <w:jc w:val="both"/>
              <w:rPr>
                <w:rFonts w:cs="Tahoma"/>
                <w:szCs w:val="22"/>
              </w:rPr>
            </w:pPr>
            <w:r w:rsidRPr="00BE0CC6">
              <w:rPr>
                <w:rFonts w:cs="Tahoma"/>
                <w:szCs w:val="22"/>
              </w:rPr>
              <w:t>10</w:t>
            </w:r>
          </w:p>
        </w:tc>
        <w:tc>
          <w:tcPr>
            <w:tcW w:w="1738" w:type="dxa"/>
          </w:tcPr>
          <w:p w:rsidR="007A2219" w:rsidRPr="00BE0CC6" w:rsidRDefault="007A2219" w:rsidP="007A2219">
            <w:pPr>
              <w:spacing w:after="0"/>
              <w:jc w:val="both"/>
              <w:rPr>
                <w:rFonts w:cs="Tahoma"/>
                <w:szCs w:val="22"/>
              </w:rPr>
            </w:pPr>
            <w:r w:rsidRPr="00BE0CC6">
              <w:rPr>
                <w:rFonts w:cs="Tahoma"/>
                <w:szCs w:val="22"/>
              </w:rPr>
              <w:t>Disbursement/Fund Release Warrants</w:t>
            </w:r>
          </w:p>
        </w:tc>
        <w:tc>
          <w:tcPr>
            <w:tcW w:w="2982" w:type="dxa"/>
          </w:tcPr>
          <w:p w:rsidR="007A2219" w:rsidRPr="00BE0CC6" w:rsidRDefault="007A2219" w:rsidP="007A2219">
            <w:pPr>
              <w:spacing w:after="0"/>
              <w:jc w:val="both"/>
              <w:rPr>
                <w:rFonts w:cs="Tahoma"/>
                <w:szCs w:val="22"/>
              </w:rPr>
            </w:pPr>
            <w:r w:rsidRPr="00BE0CC6">
              <w:rPr>
                <w:rFonts w:cs="Tahoma"/>
                <w:szCs w:val="22"/>
              </w:rPr>
              <w:t>Request for release of funds for approved projects.</w:t>
            </w:r>
          </w:p>
        </w:tc>
        <w:tc>
          <w:tcPr>
            <w:tcW w:w="1369" w:type="dxa"/>
          </w:tcPr>
          <w:p w:rsidR="007A2219" w:rsidRPr="00BE0CC6" w:rsidRDefault="007A2219" w:rsidP="007A2219">
            <w:pPr>
              <w:spacing w:after="0"/>
              <w:jc w:val="both"/>
              <w:rPr>
                <w:rFonts w:cs="Tahoma"/>
                <w:szCs w:val="22"/>
              </w:rPr>
            </w:pPr>
            <w:r w:rsidRPr="00BE0CC6">
              <w:rPr>
                <w:rFonts w:cs="Tahoma"/>
                <w:szCs w:val="22"/>
              </w:rPr>
              <w:t>On-going</w:t>
            </w:r>
          </w:p>
        </w:tc>
        <w:tc>
          <w:tcPr>
            <w:tcW w:w="1931" w:type="dxa"/>
          </w:tcPr>
          <w:p w:rsidR="007A2219" w:rsidRPr="00BE0CC6" w:rsidRDefault="007A2219" w:rsidP="007A2219">
            <w:pPr>
              <w:spacing w:after="0"/>
              <w:jc w:val="both"/>
              <w:rPr>
                <w:rFonts w:cs="Tahoma"/>
                <w:szCs w:val="22"/>
              </w:rPr>
            </w:pPr>
            <w:r w:rsidRPr="00BE0CC6">
              <w:rPr>
                <w:rFonts w:cs="Tahoma"/>
                <w:szCs w:val="22"/>
              </w:rPr>
              <w:t>MDAs/MoF/AG</w:t>
            </w:r>
          </w:p>
        </w:tc>
        <w:tc>
          <w:tcPr>
            <w:tcW w:w="1846" w:type="dxa"/>
          </w:tcPr>
          <w:p w:rsidR="007A2219" w:rsidRPr="00BE0CC6" w:rsidRDefault="007A2219" w:rsidP="007A2219">
            <w:pPr>
              <w:spacing w:after="0"/>
              <w:jc w:val="both"/>
              <w:rPr>
                <w:rFonts w:cs="Tahoma"/>
                <w:szCs w:val="22"/>
              </w:rPr>
            </w:pPr>
            <w:r w:rsidRPr="00BE0CC6">
              <w:rPr>
                <w:rFonts w:cs="Tahoma"/>
                <w:szCs w:val="22"/>
              </w:rPr>
              <w:t>Permanent Secretaries/ Directors of Finance and Administration</w:t>
            </w:r>
          </w:p>
        </w:tc>
      </w:tr>
    </w:tbl>
    <w:p w:rsidR="00A76322" w:rsidRDefault="00A76322" w:rsidP="00A76322">
      <w:pPr>
        <w:pStyle w:val="Heading1"/>
      </w:pPr>
      <w:bookmarkStart w:id="25" w:name="_Toc340045246"/>
      <w:bookmarkStart w:id="26" w:name="_Toc340053635"/>
      <w:bookmarkStart w:id="27" w:name="_Toc454798305"/>
      <w:bookmarkStart w:id="28" w:name="_Toc79827007"/>
      <w:r>
        <w:lastRenderedPageBreak/>
        <w:t>Economic and Fiscal Update</w:t>
      </w:r>
      <w:bookmarkEnd w:id="25"/>
      <w:bookmarkEnd w:id="26"/>
      <w:bookmarkEnd w:id="27"/>
      <w:bookmarkEnd w:id="28"/>
    </w:p>
    <w:p w:rsidR="00A76322" w:rsidRDefault="00A76322" w:rsidP="00A76322">
      <w:pPr>
        <w:pStyle w:val="Heading2"/>
      </w:pPr>
      <w:bookmarkStart w:id="29" w:name="_Toc340045247"/>
      <w:bookmarkStart w:id="30" w:name="_Toc340053636"/>
      <w:bookmarkStart w:id="31" w:name="_Toc454798306"/>
      <w:bookmarkStart w:id="32" w:name="_Toc79827008"/>
      <w:r>
        <w:t>Economic Overview</w:t>
      </w:r>
      <w:bookmarkEnd w:id="29"/>
      <w:bookmarkEnd w:id="30"/>
      <w:bookmarkEnd w:id="31"/>
      <w:bookmarkEnd w:id="32"/>
    </w:p>
    <w:p w:rsidR="00A76322" w:rsidRDefault="00A76322" w:rsidP="00A76322">
      <w:pPr>
        <w:pStyle w:val="Heading3"/>
      </w:pPr>
      <w:bookmarkStart w:id="33" w:name="_Toc79827009"/>
      <w:r>
        <w:t>Global Economy</w:t>
      </w:r>
      <w:r w:rsidR="00A45308">
        <w:rPr>
          <w:rStyle w:val="FootnoteReference"/>
        </w:rPr>
        <w:footnoteReference w:id="4"/>
      </w:r>
      <w:bookmarkEnd w:id="33"/>
    </w:p>
    <w:p w:rsidR="00A75954" w:rsidRPr="00841B3B" w:rsidRDefault="0045692E" w:rsidP="00ED6D5B">
      <w:pPr>
        <w:pStyle w:val="NumberedPara"/>
        <w:tabs>
          <w:tab w:val="clear" w:pos="1287"/>
          <w:tab w:val="num" w:pos="450"/>
        </w:tabs>
        <w:ind w:left="450" w:hanging="450"/>
        <w:rPr>
          <w:color w:val="000000"/>
        </w:rPr>
      </w:pPr>
      <w:r w:rsidRPr="00841B3B">
        <w:rPr>
          <w:color w:val="000000"/>
        </w:rPr>
        <w:t>I</w:t>
      </w:r>
      <w:r w:rsidR="00A75954" w:rsidRPr="00841B3B">
        <w:rPr>
          <w:color w:val="000000"/>
        </w:rPr>
        <w:t xml:space="preserve">t is one year since COVID-19 was declared a global pandemic, a year of terrible loss </w:t>
      </w:r>
      <w:r w:rsidR="001472A0" w:rsidRPr="00841B3B">
        <w:rPr>
          <w:color w:val="000000"/>
        </w:rPr>
        <w:t>of lives and livelihoods. M</w:t>
      </w:r>
      <w:r w:rsidR="00A75954" w:rsidRPr="00841B3B">
        <w:rPr>
          <w:color w:val="000000"/>
        </w:rPr>
        <w:t>any around the world</w:t>
      </w:r>
      <w:r w:rsidR="001472A0" w:rsidRPr="00841B3B">
        <w:rPr>
          <w:color w:val="000000"/>
        </w:rPr>
        <w:t xml:space="preserve"> </w:t>
      </w:r>
      <w:r w:rsidR="00A75954" w:rsidRPr="00841B3B">
        <w:rPr>
          <w:color w:val="000000"/>
        </w:rPr>
        <w:t>lost loved ones to the widening reach of the pandemic. The rising human toll worldwide and the millions of people that remain unemployed are grim markers of the extreme social and economic strain that the global community still confronts. Yet, even with high uncertainty about the path of the pandemic, a way out of this health and economic crisis is increasingly visible. Thanks to the ingenuity of the scientific community, we have multiple vaccines that can reduce the severity and frequency of infections. In parallel, adaptation to pandemic life has enabled the global economy to do well despite subdued overall mobility, leading to a stronger-than-anticipated rebound, on average, across regions. Additional fiscal support in some economies, (especially the United States)—on top of an already unprecedented fiscal respo</w:t>
      </w:r>
      <w:r w:rsidR="00ED6D5B" w:rsidRPr="00841B3B">
        <w:rPr>
          <w:color w:val="000000"/>
        </w:rPr>
        <w:t>nse last year and contin</w:t>
      </w:r>
      <w:r w:rsidR="00A75954" w:rsidRPr="00841B3B">
        <w:rPr>
          <w:color w:val="000000"/>
        </w:rPr>
        <w:t>ued monetary accommodation—further uplift the economic outlook. We are now projecting a stronger recovery in 2021 and 2022 for the globa</w:t>
      </w:r>
      <w:r w:rsidR="001472A0" w:rsidRPr="00841B3B">
        <w:rPr>
          <w:color w:val="000000"/>
        </w:rPr>
        <w:t>l economy compared to our previ</w:t>
      </w:r>
      <w:r w:rsidR="00A75954" w:rsidRPr="00841B3B">
        <w:rPr>
          <w:color w:val="000000"/>
        </w:rPr>
        <w:t>ous forecast, with growth projected to be 6 percent in 2021 and 4.4 percent in 2022. Nonetheless, the outlook presents daunting challenges related to divergences in the speed of recovery both across and within countries and the potential for persistent economic damage from the cr</w:t>
      </w:r>
      <w:r w:rsidR="00DF58A4" w:rsidRPr="00841B3B">
        <w:rPr>
          <w:color w:val="000000"/>
        </w:rPr>
        <w:t>isis. M</w:t>
      </w:r>
      <w:r w:rsidR="00A75954" w:rsidRPr="00841B3B">
        <w:rPr>
          <w:color w:val="000000"/>
        </w:rPr>
        <w:t>ultispeed recoveries are under way in all regions and across income groups, linked to stark differences in the pace of vaccine rollout, the extent of economic policy support, and structural factors such as reliance on tourism. Among advanced economies, the United States is expected to surpass its pre-COVID GDP level this year, while many others in the group will return to their pre-COVID levels only in 2022. Similarly, among emerging market and developing economies, China had already returned to pre-COVID GDP in 2020, whereas many others are not expected to do so until well into 2023. The divergent recovery</w:t>
      </w:r>
      <w:r w:rsidR="00ED6D5B" w:rsidRPr="00841B3B">
        <w:rPr>
          <w:color w:val="000000"/>
        </w:rPr>
        <w:t xml:space="preserve"> paths are likely to create sig</w:t>
      </w:r>
      <w:r w:rsidR="00A75954" w:rsidRPr="00841B3B">
        <w:rPr>
          <w:color w:val="000000"/>
        </w:rPr>
        <w:t>nificantly wider gaps in</w:t>
      </w:r>
      <w:r w:rsidR="00ED6D5B" w:rsidRPr="00841B3B">
        <w:rPr>
          <w:color w:val="000000"/>
        </w:rPr>
        <w:t xml:space="preserve"> living standards between devel</w:t>
      </w:r>
      <w:r w:rsidR="00A75954" w:rsidRPr="00841B3B">
        <w:rPr>
          <w:color w:val="000000"/>
        </w:rPr>
        <w:t>oping countries and others, compared to pre-pandemic expectations. Cumulative per capita income losses over 2020–22, compared to pre-pandemic projections, are equivalent to 20 percent of 2019 per capita GDP in emerging markets a</w:t>
      </w:r>
      <w:r w:rsidR="00ED6D5B" w:rsidRPr="00841B3B">
        <w:rPr>
          <w:color w:val="000000"/>
        </w:rPr>
        <w:t>nd developing economies (exclud</w:t>
      </w:r>
      <w:r w:rsidR="00A75954" w:rsidRPr="00841B3B">
        <w:rPr>
          <w:color w:val="000000"/>
        </w:rPr>
        <w:t>ing China), while in advanced economies the losses are expected to be relatively smaller, at 11 percent. This has reversed gains in poverty reduction, with an additional 95 million people expected to have entered the ranks of the extreme poor in 2020, and 80 million more undernourished than before. With a fuller understanding of how the shock has transmitted across sectors and borders, and based on past experiences of deep recessions, we are now better able to assess the likely med</w:t>
      </w:r>
      <w:r w:rsidR="00E9195E" w:rsidRPr="00841B3B">
        <w:rPr>
          <w:color w:val="000000"/>
        </w:rPr>
        <w:t xml:space="preserve">ium-term losses. Many variables </w:t>
      </w:r>
      <w:r w:rsidR="00A75954" w:rsidRPr="00841B3B">
        <w:rPr>
          <w:color w:val="000000"/>
        </w:rPr>
        <w:t>differences in initial exposure to the shock, economic</w:t>
      </w:r>
      <w:r w:rsidR="00E9195E" w:rsidRPr="00841B3B">
        <w:rPr>
          <w:color w:val="000000"/>
        </w:rPr>
        <w:t xml:space="preserve"> structures, and policy support </w:t>
      </w:r>
      <w:r w:rsidR="00A75954" w:rsidRPr="00841B3B">
        <w:rPr>
          <w:color w:val="000000"/>
        </w:rPr>
        <w:t>inform our projections for persistent damages and scarring over the medium term</w:t>
      </w:r>
    </w:p>
    <w:p w:rsidR="00A75954" w:rsidRDefault="00A75954" w:rsidP="00944748">
      <w:pPr>
        <w:pStyle w:val="NumberedPara"/>
        <w:tabs>
          <w:tab w:val="clear" w:pos="1287"/>
          <w:tab w:val="num" w:pos="450"/>
        </w:tabs>
        <w:ind w:left="450" w:hanging="450"/>
      </w:pPr>
      <w:r w:rsidRPr="00841B3B">
        <w:rPr>
          <w:color w:val="000000"/>
        </w:rPr>
        <w:t xml:space="preserve">IMF staff estimates suggest that the contraction could have been three times as large if not for extraordinary policy support. Much remains to be done to beat back the pandemic and avoid divergence in income per capita across economies and persistent increases in inequality within countries. Improved outlook: After an estimated </w:t>
      </w:r>
      <w:r w:rsidRPr="00841B3B">
        <w:rPr>
          <w:color w:val="000000"/>
        </w:rPr>
        <w:lastRenderedPageBreak/>
        <w:t xml:space="preserve">contraction of –3.3 percent in 2020, the global economy is projected to grow at 6 percent in 2021, moderating to 4.4 percent in 2022. The contraction for 2020 is 1.1 percentage points smaller than projected in the October 2020 World </w:t>
      </w:r>
      <w:r w:rsidR="00ED6D5B" w:rsidRPr="00841B3B">
        <w:rPr>
          <w:color w:val="000000"/>
        </w:rPr>
        <w:t>Economic Outlook (WEO), reflect</w:t>
      </w:r>
      <w:r w:rsidRPr="00841B3B">
        <w:rPr>
          <w:color w:val="000000"/>
        </w:rPr>
        <w:t>ing the higher-than-expected growth outturns in the second half of the y</w:t>
      </w:r>
      <w:r w:rsidR="00ED6D5B" w:rsidRPr="00841B3B">
        <w:rPr>
          <w:color w:val="000000"/>
        </w:rPr>
        <w:t>ear for most regions after lock</w:t>
      </w:r>
      <w:r w:rsidRPr="00841B3B">
        <w:rPr>
          <w:color w:val="000000"/>
        </w:rPr>
        <w:t>downs were eased and as economies adapted to new ways of working. The projections for 2021 and 2022 are 0.8 percentage point and 0.2 percentage point stronger than in the October 2020 WEO, reflecting additional fiscal support in a few large economies and the anticipated vaccine-powered recovery in the second half of the year. Glo</w:t>
      </w:r>
      <w:r w:rsidR="00ED6D5B" w:rsidRPr="00841B3B">
        <w:rPr>
          <w:color w:val="000000"/>
        </w:rPr>
        <w:t>bal growth is expected to moder</w:t>
      </w:r>
      <w:r w:rsidRPr="00841B3B">
        <w:rPr>
          <w:color w:val="000000"/>
        </w:rPr>
        <w:t>ate to 3.3 percent over the medium term—reflecting projected damage to supply potential and forces that predate the pandemic, including aging-related slower labo</w:t>
      </w:r>
      <w:r w:rsidR="00E9195E" w:rsidRPr="00841B3B">
        <w:rPr>
          <w:color w:val="000000"/>
        </w:rPr>
        <w:t>u</w:t>
      </w:r>
      <w:r w:rsidRPr="00841B3B">
        <w:rPr>
          <w:color w:val="000000"/>
        </w:rPr>
        <w:t>r force growth in advanced economies and some emerging market economies. Thanks to unprecedented policy response, the COVID-19 recession is likely to leave smaller scars than the 2008 global financial crisis. However, emerging market economies and low-income developing countries have been hit harder and are expected to suffer more significant medium-term losses. Divergent impac</w:t>
      </w:r>
      <w:r w:rsidR="00ED6D5B" w:rsidRPr="00841B3B">
        <w:rPr>
          <w:color w:val="000000"/>
        </w:rPr>
        <w:t>ts: Output losses have been par</w:t>
      </w:r>
      <w:r w:rsidRPr="00841B3B">
        <w:rPr>
          <w:color w:val="000000"/>
        </w:rPr>
        <w:t>ticularly large for countries that rely on tourism and commodity exports and for those with limited policy space to respond. Many of these countries entered the crisis in a precarious fiscal situation and with less capacity to mount major health care policy responses or support livelihoods. The projected recovery follows a severe contraction that has had particularly adverse employment and earnings impacts on certain groups. Youth, women, work</w:t>
      </w:r>
      <w:r w:rsidR="001472A0" w:rsidRPr="00841B3B">
        <w:rPr>
          <w:color w:val="000000"/>
        </w:rPr>
        <w:t>ers with relatively lower educa</w:t>
      </w:r>
      <w:r w:rsidRPr="00841B3B">
        <w:rPr>
          <w:color w:val="000000"/>
        </w:rPr>
        <w:t>tional attainment, and the informally employed have generally been hit hardest. Income inequality is likely to increase significantly because of the pandemic. Close to 95 million more people are estimated to have fallen below the threshold of extreme poverty in 2020 compared with pre-pandemic projections. Moreover, learning losses have been more severe in low-income and developing countries, which have found it harder to cope with school closures, and especially for girls and students from low-income households. Unequal setbacks to schooling could further amplify income inequality. High uncertainty surrounds the global outlook. Future developments will depend on the path of the health crisis, including whether the new COVID-19 strains prove susceptible to vaccines or they prolong the pandemic; the effectiveness of policy actions to limit persistent economic damage (scarring); the evolution of financial conditions and commodity prices; and the adjustment capacity of the economy.</w:t>
      </w:r>
    </w:p>
    <w:p w:rsidR="00A76322" w:rsidRPr="000F0C11" w:rsidRDefault="00A76322" w:rsidP="008A7DB3">
      <w:pPr>
        <w:pStyle w:val="NumberedPara"/>
        <w:tabs>
          <w:tab w:val="clear" w:pos="1287"/>
          <w:tab w:val="num" w:pos="540"/>
        </w:tabs>
        <w:ind w:left="540" w:hanging="540"/>
        <w:rPr>
          <w:b/>
        </w:rPr>
      </w:pPr>
      <w:r w:rsidRPr="000F0C11">
        <w:rPr>
          <w:b/>
        </w:rPr>
        <w:t>Countries selected are chosen to represent BRICS, MINT,</w:t>
      </w:r>
      <w:r w:rsidR="003C6ABC" w:rsidRPr="000F0C11">
        <w:rPr>
          <w:b/>
        </w:rPr>
        <w:t xml:space="preserve"> N-11, Petro-</w:t>
      </w:r>
      <w:r w:rsidRPr="000F0C11">
        <w:rPr>
          <w:b/>
        </w:rPr>
        <w:t xml:space="preserve">economies and other large African countries. </w:t>
      </w:r>
    </w:p>
    <w:p w:rsidR="00A76322" w:rsidRDefault="00A76322" w:rsidP="00A76322">
      <w:pPr>
        <w:pStyle w:val="StyleCaptionCentered"/>
      </w:pPr>
      <w:bookmarkStart w:id="34" w:name="_Toc349823802"/>
      <w:bookmarkStart w:id="35" w:name="_Toc79827146"/>
      <w:r>
        <w:lastRenderedPageBreak/>
        <w:t xml:space="preserve">Table </w:t>
      </w:r>
      <w:r w:rsidR="00DF033A">
        <w:fldChar w:fldCharType="begin"/>
      </w:r>
      <w:r>
        <w:instrText xml:space="preserve"> SEQ Table \* ARABIC </w:instrText>
      </w:r>
      <w:r w:rsidR="00DF033A">
        <w:fldChar w:fldCharType="separate"/>
      </w:r>
      <w:r w:rsidR="007A24D6">
        <w:rPr>
          <w:noProof/>
        </w:rPr>
        <w:t>2</w:t>
      </w:r>
      <w:r w:rsidR="00DF033A">
        <w:fldChar w:fldCharType="end"/>
      </w:r>
      <w:r>
        <w:t>: Real GDP Growth - Selected Countries</w:t>
      </w:r>
      <w:bookmarkEnd w:id="34"/>
      <w:bookmarkEnd w:id="35"/>
    </w:p>
    <w:tbl>
      <w:tblPr>
        <w:tblW w:w="863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1160"/>
        <w:gridCol w:w="1162"/>
        <w:gridCol w:w="1166"/>
        <w:gridCol w:w="1183"/>
        <w:gridCol w:w="1243"/>
      </w:tblGrid>
      <w:tr w:rsidR="002F00ED" w:rsidRPr="00D434BB" w:rsidTr="002F00ED">
        <w:trPr>
          <w:trHeight w:val="305"/>
        </w:trPr>
        <w:tc>
          <w:tcPr>
            <w:tcW w:w="2724" w:type="dxa"/>
            <w:vMerge w:val="restart"/>
            <w:shd w:val="clear" w:color="auto" w:fill="758453"/>
          </w:tcPr>
          <w:p w:rsidR="002F00ED" w:rsidRPr="00D434BB" w:rsidRDefault="002F00ED" w:rsidP="00A76322">
            <w:pPr>
              <w:pStyle w:val="Table"/>
              <w:keepNext/>
              <w:rPr>
                <w:b/>
                <w:color w:val="FFFFFF"/>
              </w:rPr>
            </w:pPr>
            <w:r w:rsidRPr="00D434BB">
              <w:rPr>
                <w:b/>
                <w:color w:val="FFFFFF"/>
              </w:rPr>
              <w:t>Country</w:t>
            </w:r>
          </w:p>
        </w:tc>
        <w:tc>
          <w:tcPr>
            <w:tcW w:w="3488" w:type="dxa"/>
            <w:gridSpan w:val="3"/>
            <w:shd w:val="clear" w:color="auto" w:fill="758453"/>
          </w:tcPr>
          <w:p w:rsidR="002F00ED" w:rsidRPr="00D434BB" w:rsidRDefault="002F00ED" w:rsidP="00A76322">
            <w:pPr>
              <w:pStyle w:val="Table"/>
              <w:keepNext/>
              <w:jc w:val="center"/>
              <w:rPr>
                <w:b/>
                <w:color w:val="FFFFFF"/>
              </w:rPr>
            </w:pPr>
            <w:r w:rsidRPr="00D434BB">
              <w:rPr>
                <w:b/>
                <w:color w:val="FFFFFF"/>
              </w:rPr>
              <w:t>Actual</w:t>
            </w:r>
            <w:r w:rsidRPr="00D434BB">
              <w:rPr>
                <w:rStyle w:val="FootnoteReference"/>
                <w:b/>
                <w:color w:val="FFFFFF"/>
              </w:rPr>
              <w:footnoteReference w:id="5"/>
            </w:r>
          </w:p>
        </w:tc>
        <w:tc>
          <w:tcPr>
            <w:tcW w:w="2426" w:type="dxa"/>
            <w:gridSpan w:val="2"/>
            <w:shd w:val="clear" w:color="auto" w:fill="758453"/>
          </w:tcPr>
          <w:p w:rsidR="002F00ED" w:rsidRPr="00D434BB" w:rsidRDefault="002F00ED" w:rsidP="00A76322">
            <w:pPr>
              <w:pStyle w:val="Table"/>
              <w:keepNext/>
              <w:jc w:val="center"/>
              <w:rPr>
                <w:b/>
                <w:color w:val="FFFFFF"/>
              </w:rPr>
            </w:pPr>
            <w:r>
              <w:rPr>
                <w:b/>
                <w:color w:val="FFFFFF"/>
              </w:rPr>
              <w:t>Forecast</w:t>
            </w:r>
          </w:p>
        </w:tc>
      </w:tr>
      <w:tr w:rsidR="002802CB" w:rsidRPr="00D434BB" w:rsidTr="002802CB">
        <w:trPr>
          <w:trHeight w:val="305"/>
        </w:trPr>
        <w:tc>
          <w:tcPr>
            <w:tcW w:w="2724" w:type="dxa"/>
            <w:vMerge/>
            <w:shd w:val="clear" w:color="auto" w:fill="758453"/>
          </w:tcPr>
          <w:p w:rsidR="002802CB" w:rsidRPr="00D434BB" w:rsidRDefault="002802CB" w:rsidP="002802CB">
            <w:pPr>
              <w:pStyle w:val="Table"/>
              <w:keepNext/>
              <w:rPr>
                <w:b/>
                <w:color w:val="FFFFFF"/>
              </w:rPr>
            </w:pPr>
          </w:p>
        </w:tc>
        <w:tc>
          <w:tcPr>
            <w:tcW w:w="1160" w:type="dxa"/>
            <w:shd w:val="clear" w:color="auto" w:fill="758453"/>
          </w:tcPr>
          <w:p w:rsidR="002802CB" w:rsidRPr="00D434BB" w:rsidRDefault="002802CB" w:rsidP="002802CB">
            <w:pPr>
              <w:pStyle w:val="Table"/>
              <w:rPr>
                <w:b/>
                <w:color w:val="FFFFFF"/>
              </w:rPr>
            </w:pPr>
            <w:r>
              <w:rPr>
                <w:b/>
                <w:color w:val="FFFFFF"/>
              </w:rPr>
              <w:t>2018</w:t>
            </w:r>
          </w:p>
        </w:tc>
        <w:tc>
          <w:tcPr>
            <w:tcW w:w="1162" w:type="dxa"/>
            <w:shd w:val="clear" w:color="auto" w:fill="758453"/>
          </w:tcPr>
          <w:p w:rsidR="002802CB" w:rsidRPr="00D434BB" w:rsidRDefault="002802CB" w:rsidP="002802CB">
            <w:pPr>
              <w:pStyle w:val="Table"/>
              <w:rPr>
                <w:b/>
                <w:color w:val="FFFFFF"/>
              </w:rPr>
            </w:pPr>
            <w:r>
              <w:rPr>
                <w:b/>
                <w:color w:val="FFFFFF"/>
              </w:rPr>
              <w:t>2019</w:t>
            </w:r>
          </w:p>
        </w:tc>
        <w:tc>
          <w:tcPr>
            <w:tcW w:w="1166" w:type="dxa"/>
            <w:shd w:val="clear" w:color="auto" w:fill="758453"/>
          </w:tcPr>
          <w:p w:rsidR="002802CB" w:rsidRPr="00D434BB" w:rsidRDefault="002802CB" w:rsidP="002802CB">
            <w:pPr>
              <w:pStyle w:val="Table"/>
              <w:rPr>
                <w:b/>
                <w:color w:val="FFFFFF"/>
              </w:rPr>
            </w:pPr>
            <w:r>
              <w:rPr>
                <w:b/>
                <w:color w:val="FFFFFF"/>
              </w:rPr>
              <w:t>2020</w:t>
            </w:r>
          </w:p>
        </w:tc>
        <w:tc>
          <w:tcPr>
            <w:tcW w:w="1183" w:type="dxa"/>
            <w:shd w:val="clear" w:color="auto" w:fill="758453"/>
          </w:tcPr>
          <w:p w:rsidR="002802CB" w:rsidRPr="00D434BB" w:rsidRDefault="002802CB" w:rsidP="002802CB">
            <w:pPr>
              <w:pStyle w:val="Table"/>
              <w:rPr>
                <w:b/>
                <w:color w:val="FFFFFF"/>
              </w:rPr>
            </w:pPr>
            <w:r>
              <w:rPr>
                <w:b/>
                <w:color w:val="FFFFFF"/>
              </w:rPr>
              <w:t>2021</w:t>
            </w:r>
          </w:p>
        </w:tc>
        <w:tc>
          <w:tcPr>
            <w:tcW w:w="1243" w:type="dxa"/>
            <w:shd w:val="clear" w:color="auto" w:fill="758453"/>
          </w:tcPr>
          <w:p w:rsidR="002802CB" w:rsidRPr="00D434BB" w:rsidRDefault="002802CB" w:rsidP="002802CB">
            <w:pPr>
              <w:pStyle w:val="Table"/>
              <w:rPr>
                <w:b/>
                <w:color w:val="FFFFFF"/>
              </w:rPr>
            </w:pPr>
            <w:r>
              <w:rPr>
                <w:b/>
                <w:color w:val="FFFFFF"/>
              </w:rPr>
              <w:t>2022</w:t>
            </w:r>
          </w:p>
        </w:tc>
      </w:tr>
      <w:tr w:rsidR="00A45DD0" w:rsidTr="002802CB">
        <w:trPr>
          <w:trHeight w:val="305"/>
        </w:trPr>
        <w:tc>
          <w:tcPr>
            <w:tcW w:w="2724" w:type="dxa"/>
          </w:tcPr>
          <w:p w:rsidR="00A45DD0" w:rsidRDefault="00A45DD0" w:rsidP="00A45DD0">
            <w:pPr>
              <w:pStyle w:val="Table"/>
              <w:keepNext/>
            </w:pPr>
            <w:r>
              <w:t>Mexico</w:t>
            </w:r>
          </w:p>
        </w:tc>
        <w:tc>
          <w:tcPr>
            <w:tcW w:w="1160" w:type="dxa"/>
          </w:tcPr>
          <w:p w:rsidR="00A45DD0" w:rsidRPr="00DE7FB1" w:rsidRDefault="00A45DD0" w:rsidP="00A45DD0">
            <w:pPr>
              <w:pStyle w:val="Table"/>
              <w:keepNext/>
              <w:jc w:val="center"/>
              <w:rPr>
                <w:rFonts w:cs="Tahoma"/>
              </w:rPr>
            </w:pPr>
            <w:r w:rsidRPr="00DE7FB1">
              <w:rPr>
                <w:rFonts w:cs="Tahoma"/>
              </w:rPr>
              <w:t>2.0</w:t>
            </w:r>
          </w:p>
        </w:tc>
        <w:tc>
          <w:tcPr>
            <w:tcW w:w="1162" w:type="dxa"/>
          </w:tcPr>
          <w:p w:rsidR="00A45DD0" w:rsidRPr="00DE7FB1" w:rsidRDefault="00A45DD0" w:rsidP="00A45DD0">
            <w:pPr>
              <w:pStyle w:val="Table"/>
              <w:keepNext/>
              <w:jc w:val="center"/>
              <w:rPr>
                <w:rFonts w:cs="Tahoma"/>
              </w:rPr>
            </w:pPr>
            <w:r>
              <w:rPr>
                <w:rFonts w:cs="Tahoma"/>
              </w:rPr>
              <w:t>-0</w:t>
            </w:r>
            <w:r w:rsidRPr="00DE7FB1">
              <w:rPr>
                <w:rFonts w:cs="Tahoma"/>
              </w:rPr>
              <w:t>.</w:t>
            </w:r>
            <w:r>
              <w:rPr>
                <w:rFonts w:cs="Tahoma"/>
              </w:rPr>
              <w:t>1</w:t>
            </w:r>
          </w:p>
        </w:tc>
        <w:tc>
          <w:tcPr>
            <w:tcW w:w="1166" w:type="dxa"/>
          </w:tcPr>
          <w:p w:rsidR="00A45DD0" w:rsidRPr="00431EA2" w:rsidRDefault="00A45DD0" w:rsidP="00431EA2">
            <w:pPr>
              <w:pStyle w:val="Table"/>
              <w:keepNext/>
              <w:jc w:val="center"/>
              <w:rPr>
                <w:rFonts w:cs="Tahoma"/>
              </w:rPr>
            </w:pPr>
            <w:r w:rsidRPr="00431EA2">
              <w:rPr>
                <w:rFonts w:cs="Tahoma"/>
              </w:rPr>
              <w:t>–8.2</w:t>
            </w:r>
          </w:p>
        </w:tc>
        <w:tc>
          <w:tcPr>
            <w:tcW w:w="1183" w:type="dxa"/>
          </w:tcPr>
          <w:p w:rsidR="00A45DD0" w:rsidRPr="00431EA2" w:rsidRDefault="00A45DD0" w:rsidP="00431EA2">
            <w:pPr>
              <w:pStyle w:val="Table"/>
              <w:keepNext/>
              <w:jc w:val="center"/>
              <w:rPr>
                <w:rFonts w:cs="Tahoma"/>
              </w:rPr>
            </w:pPr>
            <w:r w:rsidRPr="00431EA2">
              <w:rPr>
                <w:rFonts w:cs="Tahoma"/>
              </w:rPr>
              <w:t>5.0</w:t>
            </w:r>
          </w:p>
        </w:tc>
        <w:tc>
          <w:tcPr>
            <w:tcW w:w="1243" w:type="dxa"/>
          </w:tcPr>
          <w:p w:rsidR="00A45DD0" w:rsidRPr="00431EA2" w:rsidRDefault="00A45DD0" w:rsidP="00431EA2">
            <w:pPr>
              <w:pStyle w:val="Table"/>
              <w:keepNext/>
              <w:jc w:val="center"/>
              <w:rPr>
                <w:rFonts w:cs="Tahoma"/>
              </w:rPr>
            </w:pPr>
            <w:r w:rsidRPr="00431EA2">
              <w:rPr>
                <w:rFonts w:cs="Tahoma"/>
              </w:rPr>
              <w:t>3.0</w:t>
            </w:r>
          </w:p>
        </w:tc>
      </w:tr>
      <w:tr w:rsidR="002802CB" w:rsidTr="002802CB">
        <w:trPr>
          <w:trHeight w:val="305"/>
        </w:trPr>
        <w:tc>
          <w:tcPr>
            <w:tcW w:w="2724" w:type="dxa"/>
          </w:tcPr>
          <w:p w:rsidR="002802CB" w:rsidRDefault="002802CB" w:rsidP="002802CB">
            <w:pPr>
              <w:pStyle w:val="Table"/>
              <w:keepNext/>
            </w:pPr>
            <w:r>
              <w:t>Indonesia</w:t>
            </w:r>
          </w:p>
        </w:tc>
        <w:tc>
          <w:tcPr>
            <w:tcW w:w="1160" w:type="dxa"/>
          </w:tcPr>
          <w:p w:rsidR="002802CB" w:rsidRPr="00DE7FB1" w:rsidRDefault="002802CB" w:rsidP="002802CB">
            <w:pPr>
              <w:pStyle w:val="Table"/>
              <w:keepNext/>
              <w:jc w:val="center"/>
              <w:rPr>
                <w:rFonts w:cs="Tahoma"/>
              </w:rPr>
            </w:pPr>
            <w:r w:rsidRPr="00DE7FB1">
              <w:rPr>
                <w:rFonts w:cs="Tahoma"/>
              </w:rPr>
              <w:t>5.2</w:t>
            </w:r>
          </w:p>
        </w:tc>
        <w:tc>
          <w:tcPr>
            <w:tcW w:w="1162" w:type="dxa"/>
          </w:tcPr>
          <w:p w:rsidR="002802CB" w:rsidRPr="00DE7FB1" w:rsidRDefault="002802CB" w:rsidP="002802CB">
            <w:pPr>
              <w:pStyle w:val="Table"/>
              <w:keepNext/>
              <w:jc w:val="center"/>
              <w:rPr>
                <w:rFonts w:cs="Tahoma"/>
              </w:rPr>
            </w:pPr>
            <w:r w:rsidRPr="00DE7FB1">
              <w:rPr>
                <w:rFonts w:cs="Tahoma"/>
              </w:rPr>
              <w:t>5.</w:t>
            </w:r>
            <w:r>
              <w:rPr>
                <w:rFonts w:cs="Tahoma"/>
              </w:rPr>
              <w:t>0</w:t>
            </w:r>
          </w:p>
        </w:tc>
        <w:tc>
          <w:tcPr>
            <w:tcW w:w="1166" w:type="dxa"/>
          </w:tcPr>
          <w:p w:rsidR="002802CB" w:rsidRPr="00431EA2" w:rsidRDefault="00431EA2" w:rsidP="002802CB">
            <w:pPr>
              <w:pStyle w:val="Table"/>
              <w:keepNext/>
              <w:jc w:val="center"/>
              <w:rPr>
                <w:rFonts w:cs="Tahoma"/>
              </w:rPr>
            </w:pPr>
            <w:r w:rsidRPr="00431EA2">
              <w:rPr>
                <w:rFonts w:cs="Tahoma"/>
              </w:rPr>
              <w:t>-2.1</w:t>
            </w:r>
          </w:p>
        </w:tc>
        <w:tc>
          <w:tcPr>
            <w:tcW w:w="1183" w:type="dxa"/>
          </w:tcPr>
          <w:p w:rsidR="002802CB" w:rsidRPr="00DE7FB1" w:rsidRDefault="00431EA2" w:rsidP="002802CB">
            <w:pPr>
              <w:pStyle w:val="Table"/>
              <w:keepNext/>
              <w:jc w:val="center"/>
              <w:rPr>
                <w:rFonts w:cs="Tahoma"/>
              </w:rPr>
            </w:pPr>
            <w:r>
              <w:rPr>
                <w:rFonts w:cs="Tahoma"/>
              </w:rPr>
              <w:t>4.3</w:t>
            </w:r>
          </w:p>
        </w:tc>
        <w:tc>
          <w:tcPr>
            <w:tcW w:w="1243" w:type="dxa"/>
          </w:tcPr>
          <w:p w:rsidR="002802CB" w:rsidRPr="00BD6FB1" w:rsidRDefault="00431EA2" w:rsidP="002802CB">
            <w:pPr>
              <w:pStyle w:val="Table"/>
              <w:keepNext/>
              <w:jc w:val="center"/>
              <w:rPr>
                <w:rFonts w:cs="Tahoma"/>
              </w:rPr>
            </w:pPr>
            <w:r>
              <w:rPr>
                <w:rFonts w:cs="Tahoma"/>
              </w:rPr>
              <w:t>5.8</w:t>
            </w:r>
          </w:p>
        </w:tc>
      </w:tr>
      <w:tr w:rsidR="002802CB" w:rsidTr="002802CB">
        <w:trPr>
          <w:trHeight w:val="305"/>
        </w:trPr>
        <w:tc>
          <w:tcPr>
            <w:tcW w:w="2724" w:type="dxa"/>
          </w:tcPr>
          <w:p w:rsidR="002802CB" w:rsidRDefault="002802CB" w:rsidP="002802CB">
            <w:pPr>
              <w:pStyle w:val="Table"/>
              <w:keepNext/>
            </w:pPr>
            <w:r>
              <w:t>Turkey</w:t>
            </w:r>
          </w:p>
        </w:tc>
        <w:tc>
          <w:tcPr>
            <w:tcW w:w="1160" w:type="dxa"/>
          </w:tcPr>
          <w:p w:rsidR="002802CB" w:rsidRPr="00DE7FB1" w:rsidRDefault="002802CB" w:rsidP="002802CB">
            <w:pPr>
              <w:pStyle w:val="Table"/>
              <w:keepNext/>
              <w:jc w:val="center"/>
              <w:rPr>
                <w:rFonts w:cs="Tahoma"/>
              </w:rPr>
            </w:pPr>
            <w:r w:rsidRPr="00DE7FB1">
              <w:rPr>
                <w:rFonts w:cs="Tahoma"/>
              </w:rPr>
              <w:t>2.6</w:t>
            </w:r>
          </w:p>
        </w:tc>
        <w:tc>
          <w:tcPr>
            <w:tcW w:w="1162" w:type="dxa"/>
          </w:tcPr>
          <w:p w:rsidR="002802CB" w:rsidRPr="00DE7FB1" w:rsidRDefault="002802CB" w:rsidP="002802CB">
            <w:pPr>
              <w:pStyle w:val="Table"/>
              <w:keepNext/>
              <w:jc w:val="center"/>
              <w:rPr>
                <w:rFonts w:cs="Tahoma"/>
              </w:rPr>
            </w:pPr>
            <w:r>
              <w:rPr>
                <w:rFonts w:cs="Tahoma"/>
              </w:rPr>
              <w:t>0.9</w:t>
            </w:r>
          </w:p>
        </w:tc>
        <w:tc>
          <w:tcPr>
            <w:tcW w:w="1166" w:type="dxa"/>
          </w:tcPr>
          <w:p w:rsidR="002802CB" w:rsidRPr="00431EA2" w:rsidRDefault="00431EA2" w:rsidP="002802CB">
            <w:pPr>
              <w:pStyle w:val="Table"/>
              <w:keepNext/>
              <w:jc w:val="center"/>
              <w:rPr>
                <w:rFonts w:cs="Tahoma"/>
              </w:rPr>
            </w:pPr>
            <w:r w:rsidRPr="00431EA2">
              <w:rPr>
                <w:rFonts w:cs="Tahoma"/>
              </w:rPr>
              <w:t>1.8</w:t>
            </w:r>
          </w:p>
        </w:tc>
        <w:tc>
          <w:tcPr>
            <w:tcW w:w="1183" w:type="dxa"/>
          </w:tcPr>
          <w:p w:rsidR="002802CB" w:rsidRPr="00DE7FB1" w:rsidRDefault="00431EA2" w:rsidP="002802CB">
            <w:pPr>
              <w:pStyle w:val="Table"/>
              <w:keepNext/>
              <w:jc w:val="center"/>
              <w:rPr>
                <w:rFonts w:cs="Tahoma"/>
              </w:rPr>
            </w:pPr>
            <w:r>
              <w:rPr>
                <w:rFonts w:cs="Tahoma"/>
              </w:rPr>
              <w:t>8.0</w:t>
            </w:r>
          </w:p>
        </w:tc>
        <w:tc>
          <w:tcPr>
            <w:tcW w:w="1243" w:type="dxa"/>
          </w:tcPr>
          <w:p w:rsidR="002802CB" w:rsidRPr="00BD6FB1" w:rsidRDefault="00431EA2" w:rsidP="002802CB">
            <w:pPr>
              <w:pStyle w:val="Table"/>
              <w:keepNext/>
              <w:jc w:val="center"/>
              <w:rPr>
                <w:rFonts w:cs="Tahoma"/>
              </w:rPr>
            </w:pPr>
            <w:r>
              <w:rPr>
                <w:rFonts w:cs="Tahoma"/>
              </w:rPr>
              <w:t>3.5</w:t>
            </w:r>
          </w:p>
        </w:tc>
      </w:tr>
      <w:tr w:rsidR="002802CB" w:rsidTr="002802CB">
        <w:trPr>
          <w:trHeight w:val="305"/>
        </w:trPr>
        <w:tc>
          <w:tcPr>
            <w:tcW w:w="2724" w:type="dxa"/>
          </w:tcPr>
          <w:p w:rsidR="002802CB" w:rsidRPr="00180BDA" w:rsidRDefault="002802CB" w:rsidP="002802CB">
            <w:pPr>
              <w:pStyle w:val="Table"/>
              <w:keepNext/>
            </w:pPr>
            <w:r w:rsidRPr="00180BDA">
              <w:t>United States</w:t>
            </w:r>
          </w:p>
        </w:tc>
        <w:tc>
          <w:tcPr>
            <w:tcW w:w="1160" w:type="dxa"/>
          </w:tcPr>
          <w:p w:rsidR="002802CB" w:rsidRPr="00DE7FB1" w:rsidRDefault="002802CB" w:rsidP="002802CB">
            <w:pPr>
              <w:pStyle w:val="Table"/>
              <w:keepNext/>
              <w:jc w:val="center"/>
              <w:rPr>
                <w:rFonts w:cs="Tahoma"/>
              </w:rPr>
            </w:pPr>
            <w:r w:rsidRPr="00DE7FB1">
              <w:rPr>
                <w:rFonts w:cs="Tahoma"/>
              </w:rPr>
              <w:t>2.6</w:t>
            </w:r>
          </w:p>
        </w:tc>
        <w:tc>
          <w:tcPr>
            <w:tcW w:w="1162" w:type="dxa"/>
          </w:tcPr>
          <w:p w:rsidR="002802CB" w:rsidRPr="00DE7FB1" w:rsidRDefault="002802CB" w:rsidP="002802CB">
            <w:pPr>
              <w:pStyle w:val="Table"/>
              <w:keepNext/>
              <w:jc w:val="center"/>
              <w:rPr>
                <w:rFonts w:cs="Tahoma"/>
              </w:rPr>
            </w:pPr>
            <w:r w:rsidRPr="00DE7FB1">
              <w:rPr>
                <w:rFonts w:cs="Tahoma"/>
              </w:rPr>
              <w:t>2.</w:t>
            </w:r>
            <w:r>
              <w:rPr>
                <w:rFonts w:cs="Tahoma"/>
              </w:rPr>
              <w:t>3</w:t>
            </w:r>
          </w:p>
        </w:tc>
        <w:tc>
          <w:tcPr>
            <w:tcW w:w="1166" w:type="dxa"/>
          </w:tcPr>
          <w:p w:rsidR="002802CB" w:rsidRPr="00431EA2" w:rsidRDefault="00856AC2" w:rsidP="002802CB">
            <w:pPr>
              <w:pStyle w:val="Table"/>
              <w:keepNext/>
              <w:jc w:val="center"/>
              <w:rPr>
                <w:rFonts w:cs="Tahoma"/>
              </w:rPr>
            </w:pPr>
            <w:r w:rsidRPr="00431EA2">
              <w:rPr>
                <w:rFonts w:cs="Tahoma"/>
              </w:rPr>
              <w:t>-3.5</w:t>
            </w:r>
          </w:p>
        </w:tc>
        <w:tc>
          <w:tcPr>
            <w:tcW w:w="1183" w:type="dxa"/>
          </w:tcPr>
          <w:p w:rsidR="002802CB" w:rsidRPr="00DE7FB1" w:rsidRDefault="00856AC2" w:rsidP="002802CB">
            <w:pPr>
              <w:pStyle w:val="Table"/>
              <w:keepNext/>
              <w:jc w:val="center"/>
              <w:rPr>
                <w:rFonts w:cs="Tahoma"/>
              </w:rPr>
            </w:pPr>
            <w:r>
              <w:rPr>
                <w:rFonts w:cs="Tahoma"/>
              </w:rPr>
              <w:t>6.4</w:t>
            </w:r>
          </w:p>
        </w:tc>
        <w:tc>
          <w:tcPr>
            <w:tcW w:w="1243" w:type="dxa"/>
          </w:tcPr>
          <w:p w:rsidR="002802CB" w:rsidRPr="00BD6FB1" w:rsidRDefault="00856AC2" w:rsidP="002802CB">
            <w:pPr>
              <w:pStyle w:val="Table"/>
              <w:keepNext/>
              <w:jc w:val="center"/>
              <w:rPr>
                <w:rFonts w:cs="Tahoma"/>
              </w:rPr>
            </w:pPr>
            <w:r>
              <w:rPr>
                <w:rFonts w:cs="Tahoma"/>
              </w:rPr>
              <w:t>3.5</w:t>
            </w:r>
          </w:p>
        </w:tc>
      </w:tr>
      <w:tr w:rsidR="002802CB" w:rsidTr="002802CB">
        <w:trPr>
          <w:trHeight w:val="305"/>
        </w:trPr>
        <w:tc>
          <w:tcPr>
            <w:tcW w:w="2724" w:type="dxa"/>
          </w:tcPr>
          <w:p w:rsidR="002802CB" w:rsidRDefault="002802CB" w:rsidP="002802CB">
            <w:pPr>
              <w:pStyle w:val="Table"/>
              <w:keepNext/>
            </w:pPr>
            <w:r w:rsidRPr="00180BDA">
              <w:t>Germany</w:t>
            </w:r>
          </w:p>
        </w:tc>
        <w:tc>
          <w:tcPr>
            <w:tcW w:w="1160" w:type="dxa"/>
          </w:tcPr>
          <w:p w:rsidR="002802CB" w:rsidRPr="00DE7FB1" w:rsidRDefault="002802CB" w:rsidP="002802CB">
            <w:pPr>
              <w:pStyle w:val="Table"/>
              <w:keepNext/>
              <w:jc w:val="center"/>
              <w:rPr>
                <w:rFonts w:cs="Tahoma"/>
              </w:rPr>
            </w:pPr>
            <w:r w:rsidRPr="00DE7FB1">
              <w:rPr>
                <w:rFonts w:cs="Tahoma"/>
              </w:rPr>
              <w:t>0.9</w:t>
            </w:r>
          </w:p>
        </w:tc>
        <w:tc>
          <w:tcPr>
            <w:tcW w:w="1162" w:type="dxa"/>
          </w:tcPr>
          <w:p w:rsidR="002802CB" w:rsidRPr="00DE7FB1" w:rsidRDefault="002802CB" w:rsidP="002802CB">
            <w:pPr>
              <w:pStyle w:val="Table"/>
              <w:keepNext/>
              <w:jc w:val="center"/>
              <w:rPr>
                <w:rFonts w:cs="Tahoma"/>
              </w:rPr>
            </w:pPr>
            <w:r>
              <w:rPr>
                <w:rFonts w:cs="Tahoma"/>
              </w:rPr>
              <w:t>0.6</w:t>
            </w:r>
          </w:p>
        </w:tc>
        <w:tc>
          <w:tcPr>
            <w:tcW w:w="1166" w:type="dxa"/>
          </w:tcPr>
          <w:p w:rsidR="002802CB" w:rsidRPr="00431EA2" w:rsidRDefault="00431EA2" w:rsidP="002802CB">
            <w:pPr>
              <w:pStyle w:val="Table"/>
              <w:keepNext/>
              <w:jc w:val="center"/>
              <w:rPr>
                <w:rFonts w:cs="Tahoma"/>
              </w:rPr>
            </w:pPr>
            <w:r w:rsidRPr="00431EA2">
              <w:rPr>
                <w:rFonts w:cs="Tahoma"/>
              </w:rPr>
              <w:t>-4.9</w:t>
            </w:r>
          </w:p>
        </w:tc>
        <w:tc>
          <w:tcPr>
            <w:tcW w:w="1183" w:type="dxa"/>
          </w:tcPr>
          <w:p w:rsidR="002802CB" w:rsidRPr="00BD6FB1" w:rsidRDefault="00431EA2" w:rsidP="002802CB">
            <w:pPr>
              <w:pStyle w:val="Table"/>
              <w:keepNext/>
              <w:jc w:val="center"/>
              <w:rPr>
                <w:rFonts w:cs="Tahoma"/>
              </w:rPr>
            </w:pPr>
            <w:r>
              <w:rPr>
                <w:rFonts w:cs="Tahoma"/>
              </w:rPr>
              <w:t>3.6</w:t>
            </w:r>
          </w:p>
        </w:tc>
        <w:tc>
          <w:tcPr>
            <w:tcW w:w="1243" w:type="dxa"/>
          </w:tcPr>
          <w:p w:rsidR="002802CB" w:rsidRPr="00BD6FB1" w:rsidRDefault="00431EA2" w:rsidP="002802CB">
            <w:pPr>
              <w:pStyle w:val="Table"/>
              <w:keepNext/>
              <w:jc w:val="center"/>
              <w:rPr>
                <w:rFonts w:cs="Tahoma"/>
              </w:rPr>
            </w:pPr>
            <w:r>
              <w:rPr>
                <w:rFonts w:cs="Tahoma"/>
              </w:rPr>
              <w:t>3.4</w:t>
            </w:r>
          </w:p>
        </w:tc>
      </w:tr>
      <w:tr w:rsidR="002802CB" w:rsidTr="002802CB">
        <w:trPr>
          <w:trHeight w:val="305"/>
        </w:trPr>
        <w:tc>
          <w:tcPr>
            <w:tcW w:w="2724" w:type="dxa"/>
          </w:tcPr>
          <w:p w:rsidR="002802CB" w:rsidRDefault="002802CB" w:rsidP="002802CB">
            <w:pPr>
              <w:pStyle w:val="Table"/>
              <w:keepNext/>
            </w:pPr>
            <w:r w:rsidRPr="00180BDA">
              <w:t>United Kingdom</w:t>
            </w:r>
          </w:p>
        </w:tc>
        <w:tc>
          <w:tcPr>
            <w:tcW w:w="1160" w:type="dxa"/>
          </w:tcPr>
          <w:p w:rsidR="002802CB" w:rsidRPr="00DE7FB1" w:rsidRDefault="002802CB" w:rsidP="002802CB">
            <w:pPr>
              <w:pStyle w:val="Table"/>
              <w:keepNext/>
              <w:jc w:val="center"/>
              <w:rPr>
                <w:rFonts w:cs="Tahoma"/>
              </w:rPr>
            </w:pPr>
            <w:r w:rsidRPr="00DE7FB1">
              <w:rPr>
                <w:rFonts w:cs="Tahoma"/>
              </w:rPr>
              <w:t>1.7</w:t>
            </w:r>
          </w:p>
        </w:tc>
        <w:tc>
          <w:tcPr>
            <w:tcW w:w="1162" w:type="dxa"/>
          </w:tcPr>
          <w:p w:rsidR="002802CB" w:rsidRPr="00DE7FB1" w:rsidRDefault="002802CB" w:rsidP="002802CB">
            <w:pPr>
              <w:pStyle w:val="Table"/>
              <w:keepNext/>
              <w:jc w:val="center"/>
              <w:rPr>
                <w:rFonts w:cs="Tahoma"/>
              </w:rPr>
            </w:pPr>
            <w:r>
              <w:rPr>
                <w:rFonts w:cs="Tahoma"/>
              </w:rPr>
              <w:t>1.4</w:t>
            </w:r>
          </w:p>
        </w:tc>
        <w:tc>
          <w:tcPr>
            <w:tcW w:w="1166" w:type="dxa"/>
          </w:tcPr>
          <w:p w:rsidR="002802CB" w:rsidRPr="00431EA2" w:rsidRDefault="00431EA2" w:rsidP="002802CB">
            <w:pPr>
              <w:pStyle w:val="Table"/>
              <w:keepNext/>
              <w:jc w:val="center"/>
              <w:rPr>
                <w:rFonts w:cs="Tahoma"/>
              </w:rPr>
            </w:pPr>
            <w:r w:rsidRPr="00431EA2">
              <w:rPr>
                <w:rFonts w:cs="Tahoma"/>
              </w:rPr>
              <w:t>-9.9</w:t>
            </w:r>
          </w:p>
        </w:tc>
        <w:tc>
          <w:tcPr>
            <w:tcW w:w="1183" w:type="dxa"/>
          </w:tcPr>
          <w:p w:rsidR="002802CB" w:rsidRPr="00DE7FB1" w:rsidRDefault="00431EA2" w:rsidP="002802CB">
            <w:pPr>
              <w:pStyle w:val="Table"/>
              <w:keepNext/>
              <w:jc w:val="center"/>
              <w:rPr>
                <w:rFonts w:cs="Tahoma"/>
              </w:rPr>
            </w:pPr>
            <w:r>
              <w:rPr>
                <w:rFonts w:cs="Tahoma"/>
              </w:rPr>
              <w:t>5.3</w:t>
            </w:r>
          </w:p>
        </w:tc>
        <w:tc>
          <w:tcPr>
            <w:tcW w:w="1243" w:type="dxa"/>
          </w:tcPr>
          <w:p w:rsidR="002802CB" w:rsidRPr="00BD6FB1" w:rsidRDefault="00431EA2" w:rsidP="002802CB">
            <w:pPr>
              <w:pStyle w:val="Table"/>
              <w:keepNext/>
              <w:jc w:val="center"/>
              <w:rPr>
                <w:rFonts w:cs="Tahoma"/>
              </w:rPr>
            </w:pPr>
            <w:r>
              <w:rPr>
                <w:rFonts w:cs="Tahoma"/>
              </w:rPr>
              <w:t>5.1</w:t>
            </w:r>
          </w:p>
        </w:tc>
      </w:tr>
      <w:tr w:rsidR="002802CB" w:rsidTr="002802CB">
        <w:trPr>
          <w:trHeight w:val="305"/>
        </w:trPr>
        <w:tc>
          <w:tcPr>
            <w:tcW w:w="2724" w:type="dxa"/>
          </w:tcPr>
          <w:p w:rsidR="002802CB" w:rsidRDefault="002802CB" w:rsidP="002802CB">
            <w:pPr>
              <w:pStyle w:val="Table"/>
              <w:keepNext/>
            </w:pPr>
            <w:r>
              <w:t>China</w:t>
            </w:r>
          </w:p>
        </w:tc>
        <w:tc>
          <w:tcPr>
            <w:tcW w:w="1160" w:type="dxa"/>
          </w:tcPr>
          <w:p w:rsidR="002802CB" w:rsidRPr="00DE7FB1" w:rsidRDefault="002802CB" w:rsidP="002802CB">
            <w:pPr>
              <w:pStyle w:val="Table"/>
              <w:keepNext/>
              <w:jc w:val="center"/>
              <w:rPr>
                <w:rFonts w:cs="Tahoma"/>
              </w:rPr>
            </w:pPr>
            <w:r w:rsidRPr="00DE7FB1">
              <w:rPr>
                <w:rFonts w:cs="Tahoma"/>
              </w:rPr>
              <w:t>6.6</w:t>
            </w:r>
          </w:p>
        </w:tc>
        <w:tc>
          <w:tcPr>
            <w:tcW w:w="1162" w:type="dxa"/>
          </w:tcPr>
          <w:p w:rsidR="002802CB" w:rsidRPr="00DE7FB1" w:rsidRDefault="002802CB" w:rsidP="002802CB">
            <w:pPr>
              <w:pStyle w:val="Table"/>
              <w:keepNext/>
              <w:jc w:val="center"/>
              <w:rPr>
                <w:rFonts w:cs="Tahoma"/>
              </w:rPr>
            </w:pPr>
            <w:r>
              <w:rPr>
                <w:rFonts w:cs="Tahoma"/>
              </w:rPr>
              <w:t>6.1</w:t>
            </w:r>
          </w:p>
        </w:tc>
        <w:tc>
          <w:tcPr>
            <w:tcW w:w="1166" w:type="dxa"/>
          </w:tcPr>
          <w:p w:rsidR="002802CB" w:rsidRPr="00431EA2" w:rsidRDefault="00431EA2" w:rsidP="002802CB">
            <w:pPr>
              <w:pStyle w:val="Table"/>
              <w:keepNext/>
              <w:jc w:val="center"/>
              <w:rPr>
                <w:rFonts w:cs="Tahoma"/>
              </w:rPr>
            </w:pPr>
            <w:r w:rsidRPr="00431EA2">
              <w:rPr>
                <w:rFonts w:cs="Tahoma"/>
              </w:rPr>
              <w:t>2.3</w:t>
            </w:r>
          </w:p>
        </w:tc>
        <w:tc>
          <w:tcPr>
            <w:tcW w:w="1183" w:type="dxa"/>
          </w:tcPr>
          <w:p w:rsidR="002802CB" w:rsidRPr="00DE7FB1" w:rsidRDefault="00431EA2" w:rsidP="002802CB">
            <w:pPr>
              <w:pStyle w:val="Table"/>
              <w:keepNext/>
              <w:jc w:val="center"/>
              <w:rPr>
                <w:rFonts w:cs="Tahoma"/>
              </w:rPr>
            </w:pPr>
            <w:r>
              <w:rPr>
                <w:rFonts w:cs="Tahoma"/>
              </w:rPr>
              <w:t>8.4</w:t>
            </w:r>
          </w:p>
        </w:tc>
        <w:tc>
          <w:tcPr>
            <w:tcW w:w="1243" w:type="dxa"/>
          </w:tcPr>
          <w:p w:rsidR="002802CB" w:rsidRPr="00BD6FB1" w:rsidRDefault="00431EA2" w:rsidP="002802CB">
            <w:pPr>
              <w:pStyle w:val="Table"/>
              <w:keepNext/>
              <w:jc w:val="center"/>
              <w:rPr>
                <w:rFonts w:cs="Tahoma"/>
              </w:rPr>
            </w:pPr>
            <w:r>
              <w:rPr>
                <w:rFonts w:cs="Tahoma"/>
              </w:rPr>
              <w:t>5.6</w:t>
            </w:r>
          </w:p>
        </w:tc>
      </w:tr>
      <w:tr w:rsidR="002802CB" w:rsidTr="002802CB">
        <w:trPr>
          <w:trHeight w:val="305"/>
        </w:trPr>
        <w:tc>
          <w:tcPr>
            <w:tcW w:w="2724" w:type="dxa"/>
          </w:tcPr>
          <w:p w:rsidR="002802CB" w:rsidRDefault="002802CB" w:rsidP="002802CB">
            <w:pPr>
              <w:pStyle w:val="Table"/>
              <w:keepNext/>
            </w:pPr>
            <w:r>
              <w:t>Ghana</w:t>
            </w:r>
          </w:p>
        </w:tc>
        <w:tc>
          <w:tcPr>
            <w:tcW w:w="1160" w:type="dxa"/>
          </w:tcPr>
          <w:p w:rsidR="002802CB" w:rsidRPr="00DE7FB1" w:rsidRDefault="002802CB" w:rsidP="002802CB">
            <w:pPr>
              <w:pStyle w:val="Table"/>
              <w:keepNext/>
              <w:jc w:val="center"/>
              <w:rPr>
                <w:rFonts w:cs="Tahoma"/>
              </w:rPr>
            </w:pPr>
            <w:r w:rsidRPr="00DE7FB1">
              <w:rPr>
                <w:rFonts w:cs="Tahoma"/>
              </w:rPr>
              <w:t>5.6</w:t>
            </w:r>
          </w:p>
        </w:tc>
        <w:tc>
          <w:tcPr>
            <w:tcW w:w="1162" w:type="dxa"/>
          </w:tcPr>
          <w:p w:rsidR="002802CB" w:rsidRPr="00DE7FB1" w:rsidRDefault="002802CB" w:rsidP="002802CB">
            <w:pPr>
              <w:pStyle w:val="Table"/>
              <w:keepNext/>
              <w:jc w:val="center"/>
              <w:rPr>
                <w:rFonts w:cs="Tahoma"/>
              </w:rPr>
            </w:pPr>
            <w:r>
              <w:rPr>
                <w:rFonts w:cs="Tahoma"/>
              </w:rPr>
              <w:t>6.1</w:t>
            </w:r>
          </w:p>
        </w:tc>
        <w:tc>
          <w:tcPr>
            <w:tcW w:w="1166" w:type="dxa"/>
          </w:tcPr>
          <w:p w:rsidR="002802CB" w:rsidRPr="00431EA2" w:rsidRDefault="00431EA2" w:rsidP="002802CB">
            <w:pPr>
              <w:pStyle w:val="Table"/>
              <w:keepNext/>
              <w:jc w:val="center"/>
              <w:rPr>
                <w:rFonts w:cs="Tahoma"/>
              </w:rPr>
            </w:pPr>
            <w:r w:rsidRPr="00431EA2">
              <w:rPr>
                <w:rFonts w:cs="Tahoma"/>
              </w:rPr>
              <w:t>0.9</w:t>
            </w:r>
          </w:p>
        </w:tc>
        <w:tc>
          <w:tcPr>
            <w:tcW w:w="1183" w:type="dxa"/>
          </w:tcPr>
          <w:p w:rsidR="002802CB" w:rsidRPr="00DE7FB1" w:rsidRDefault="00431EA2" w:rsidP="002802CB">
            <w:pPr>
              <w:pStyle w:val="Table"/>
              <w:keepNext/>
              <w:jc w:val="center"/>
              <w:rPr>
                <w:rFonts w:cs="Tahoma"/>
              </w:rPr>
            </w:pPr>
            <w:r>
              <w:rPr>
                <w:rFonts w:cs="Tahoma"/>
              </w:rPr>
              <w:t>4.6</w:t>
            </w:r>
          </w:p>
        </w:tc>
        <w:tc>
          <w:tcPr>
            <w:tcW w:w="1243" w:type="dxa"/>
          </w:tcPr>
          <w:p w:rsidR="002802CB" w:rsidRPr="00BD6FB1" w:rsidRDefault="00431EA2" w:rsidP="002802CB">
            <w:pPr>
              <w:pStyle w:val="Table"/>
              <w:keepNext/>
              <w:jc w:val="center"/>
              <w:rPr>
                <w:rFonts w:cs="Tahoma"/>
              </w:rPr>
            </w:pPr>
            <w:r>
              <w:rPr>
                <w:rFonts w:cs="Tahoma"/>
              </w:rPr>
              <w:t>6.1</w:t>
            </w:r>
          </w:p>
        </w:tc>
      </w:tr>
      <w:tr w:rsidR="002802CB" w:rsidTr="002802CB">
        <w:trPr>
          <w:trHeight w:val="305"/>
        </w:trPr>
        <w:tc>
          <w:tcPr>
            <w:tcW w:w="2724" w:type="dxa"/>
          </w:tcPr>
          <w:p w:rsidR="002802CB" w:rsidRDefault="002802CB" w:rsidP="002802CB">
            <w:pPr>
              <w:pStyle w:val="Table"/>
              <w:keepNext/>
            </w:pPr>
            <w:r>
              <w:t>South Africa</w:t>
            </w:r>
          </w:p>
        </w:tc>
        <w:tc>
          <w:tcPr>
            <w:tcW w:w="1160" w:type="dxa"/>
          </w:tcPr>
          <w:p w:rsidR="002802CB" w:rsidRPr="00DE7FB1" w:rsidRDefault="002802CB" w:rsidP="002802CB">
            <w:pPr>
              <w:pStyle w:val="Table"/>
              <w:keepNext/>
              <w:jc w:val="center"/>
              <w:rPr>
                <w:rFonts w:cs="Tahoma"/>
              </w:rPr>
            </w:pPr>
            <w:r w:rsidRPr="00DE7FB1">
              <w:rPr>
                <w:rFonts w:cs="Tahoma"/>
              </w:rPr>
              <w:t>0.8</w:t>
            </w:r>
          </w:p>
        </w:tc>
        <w:tc>
          <w:tcPr>
            <w:tcW w:w="1162" w:type="dxa"/>
          </w:tcPr>
          <w:p w:rsidR="002802CB" w:rsidRPr="00DE7FB1" w:rsidRDefault="002802CB" w:rsidP="002802CB">
            <w:pPr>
              <w:pStyle w:val="Table"/>
              <w:keepNext/>
              <w:jc w:val="center"/>
              <w:rPr>
                <w:rFonts w:cs="Tahoma"/>
              </w:rPr>
            </w:pPr>
            <w:r>
              <w:rPr>
                <w:rFonts w:cs="Tahoma"/>
              </w:rPr>
              <w:t>0</w:t>
            </w:r>
            <w:r w:rsidRPr="00DE7FB1">
              <w:rPr>
                <w:rFonts w:cs="Tahoma"/>
              </w:rPr>
              <w:t>.2</w:t>
            </w:r>
          </w:p>
        </w:tc>
        <w:tc>
          <w:tcPr>
            <w:tcW w:w="1166" w:type="dxa"/>
          </w:tcPr>
          <w:p w:rsidR="002802CB" w:rsidRPr="00431EA2" w:rsidRDefault="00431EA2" w:rsidP="002802CB">
            <w:pPr>
              <w:pStyle w:val="Table"/>
              <w:keepNext/>
              <w:jc w:val="center"/>
              <w:rPr>
                <w:rFonts w:cs="Tahoma"/>
              </w:rPr>
            </w:pPr>
            <w:r w:rsidRPr="00431EA2">
              <w:rPr>
                <w:rFonts w:cs="Tahoma"/>
              </w:rPr>
              <w:t>-7.0</w:t>
            </w:r>
          </w:p>
        </w:tc>
        <w:tc>
          <w:tcPr>
            <w:tcW w:w="1183" w:type="dxa"/>
          </w:tcPr>
          <w:p w:rsidR="002802CB" w:rsidRPr="00DE7FB1" w:rsidRDefault="00431EA2" w:rsidP="002802CB">
            <w:pPr>
              <w:pStyle w:val="Table"/>
              <w:keepNext/>
              <w:jc w:val="center"/>
              <w:rPr>
                <w:rFonts w:cs="Tahoma"/>
              </w:rPr>
            </w:pPr>
            <w:r>
              <w:rPr>
                <w:rFonts w:cs="Tahoma"/>
              </w:rPr>
              <w:t>3.1</w:t>
            </w:r>
          </w:p>
        </w:tc>
        <w:tc>
          <w:tcPr>
            <w:tcW w:w="1243" w:type="dxa"/>
          </w:tcPr>
          <w:p w:rsidR="002802CB" w:rsidRPr="00BD6FB1" w:rsidRDefault="00431EA2" w:rsidP="002802CB">
            <w:pPr>
              <w:pStyle w:val="Table"/>
              <w:keepNext/>
              <w:jc w:val="center"/>
              <w:rPr>
                <w:rFonts w:cs="Tahoma"/>
              </w:rPr>
            </w:pPr>
            <w:r>
              <w:rPr>
                <w:rFonts w:cs="Tahoma"/>
              </w:rPr>
              <w:t>2.0</w:t>
            </w:r>
          </w:p>
        </w:tc>
      </w:tr>
      <w:tr w:rsidR="002802CB" w:rsidTr="002802CB">
        <w:trPr>
          <w:trHeight w:val="305"/>
        </w:trPr>
        <w:tc>
          <w:tcPr>
            <w:tcW w:w="2724" w:type="dxa"/>
          </w:tcPr>
          <w:p w:rsidR="002802CB" w:rsidRDefault="002802CB" w:rsidP="002802CB">
            <w:pPr>
              <w:pStyle w:val="Table"/>
              <w:keepNext/>
            </w:pPr>
            <w:r>
              <w:t>Brazil</w:t>
            </w:r>
          </w:p>
        </w:tc>
        <w:tc>
          <w:tcPr>
            <w:tcW w:w="1160" w:type="dxa"/>
          </w:tcPr>
          <w:p w:rsidR="002802CB" w:rsidRPr="00DE7FB1" w:rsidRDefault="002802CB" w:rsidP="002802CB">
            <w:pPr>
              <w:pStyle w:val="Table"/>
              <w:keepNext/>
              <w:jc w:val="center"/>
              <w:rPr>
                <w:rFonts w:cs="Tahoma"/>
              </w:rPr>
            </w:pPr>
            <w:r w:rsidRPr="00DE7FB1">
              <w:rPr>
                <w:rFonts w:cs="Tahoma"/>
              </w:rPr>
              <w:t>1.1</w:t>
            </w:r>
          </w:p>
        </w:tc>
        <w:tc>
          <w:tcPr>
            <w:tcW w:w="1162" w:type="dxa"/>
          </w:tcPr>
          <w:p w:rsidR="002802CB" w:rsidRPr="00DE7FB1" w:rsidRDefault="002802CB" w:rsidP="002802CB">
            <w:pPr>
              <w:pStyle w:val="Table"/>
              <w:keepNext/>
              <w:jc w:val="center"/>
              <w:rPr>
                <w:rFonts w:cs="Tahoma"/>
              </w:rPr>
            </w:pPr>
            <w:r>
              <w:rPr>
                <w:rFonts w:cs="Tahoma"/>
              </w:rPr>
              <w:t>1</w:t>
            </w:r>
            <w:r w:rsidRPr="00DE7FB1">
              <w:rPr>
                <w:rFonts w:cs="Tahoma"/>
              </w:rPr>
              <w:t>.1</w:t>
            </w:r>
          </w:p>
        </w:tc>
        <w:tc>
          <w:tcPr>
            <w:tcW w:w="1166" w:type="dxa"/>
          </w:tcPr>
          <w:p w:rsidR="002802CB" w:rsidRPr="00431EA2" w:rsidRDefault="00431EA2" w:rsidP="002802CB">
            <w:pPr>
              <w:pStyle w:val="Table"/>
              <w:keepNext/>
              <w:jc w:val="center"/>
              <w:rPr>
                <w:rFonts w:cs="Tahoma"/>
              </w:rPr>
            </w:pPr>
            <w:r w:rsidRPr="00431EA2">
              <w:rPr>
                <w:rFonts w:cs="Tahoma"/>
              </w:rPr>
              <w:t>-4.1</w:t>
            </w:r>
          </w:p>
        </w:tc>
        <w:tc>
          <w:tcPr>
            <w:tcW w:w="1183" w:type="dxa"/>
          </w:tcPr>
          <w:p w:rsidR="002802CB" w:rsidRPr="00DE7FB1" w:rsidRDefault="00431EA2" w:rsidP="002802CB">
            <w:pPr>
              <w:pStyle w:val="Table"/>
              <w:keepNext/>
              <w:jc w:val="center"/>
              <w:rPr>
                <w:rFonts w:cs="Tahoma"/>
              </w:rPr>
            </w:pPr>
            <w:r>
              <w:rPr>
                <w:rFonts w:cs="Tahoma"/>
              </w:rPr>
              <w:t>3.7</w:t>
            </w:r>
          </w:p>
        </w:tc>
        <w:tc>
          <w:tcPr>
            <w:tcW w:w="1243" w:type="dxa"/>
          </w:tcPr>
          <w:p w:rsidR="002802CB" w:rsidRPr="00BD6FB1" w:rsidRDefault="00431EA2" w:rsidP="002802CB">
            <w:pPr>
              <w:pStyle w:val="Table"/>
              <w:keepNext/>
              <w:jc w:val="center"/>
              <w:rPr>
                <w:rFonts w:cs="Tahoma"/>
              </w:rPr>
            </w:pPr>
            <w:r>
              <w:rPr>
                <w:rFonts w:cs="Tahoma"/>
              </w:rPr>
              <w:t>2.0</w:t>
            </w:r>
          </w:p>
        </w:tc>
      </w:tr>
      <w:tr w:rsidR="002802CB" w:rsidTr="002802CB">
        <w:trPr>
          <w:trHeight w:val="305"/>
        </w:trPr>
        <w:tc>
          <w:tcPr>
            <w:tcW w:w="2724" w:type="dxa"/>
          </w:tcPr>
          <w:p w:rsidR="002802CB" w:rsidRDefault="002802CB" w:rsidP="002802CB">
            <w:pPr>
              <w:pStyle w:val="Table"/>
              <w:keepNext/>
            </w:pPr>
            <w:r>
              <w:t>Angola</w:t>
            </w:r>
          </w:p>
        </w:tc>
        <w:tc>
          <w:tcPr>
            <w:tcW w:w="1160" w:type="dxa"/>
          </w:tcPr>
          <w:p w:rsidR="002802CB" w:rsidRPr="00DE7FB1" w:rsidRDefault="002802CB" w:rsidP="002802CB">
            <w:pPr>
              <w:pStyle w:val="Table"/>
              <w:keepNext/>
              <w:jc w:val="center"/>
              <w:rPr>
                <w:rFonts w:cs="Tahoma"/>
              </w:rPr>
            </w:pPr>
            <w:r w:rsidRPr="00DE7FB1">
              <w:rPr>
                <w:rFonts w:cs="Tahoma"/>
              </w:rPr>
              <w:t>-1.7</w:t>
            </w:r>
          </w:p>
        </w:tc>
        <w:tc>
          <w:tcPr>
            <w:tcW w:w="1162" w:type="dxa"/>
          </w:tcPr>
          <w:p w:rsidR="002802CB" w:rsidRPr="00DE7FB1" w:rsidRDefault="002802CB" w:rsidP="002802CB">
            <w:pPr>
              <w:pStyle w:val="Table"/>
              <w:keepNext/>
              <w:jc w:val="center"/>
              <w:rPr>
                <w:rFonts w:cs="Tahoma"/>
              </w:rPr>
            </w:pPr>
            <w:r>
              <w:rPr>
                <w:rFonts w:cs="Tahoma"/>
              </w:rPr>
              <w:t>-1.5</w:t>
            </w:r>
          </w:p>
        </w:tc>
        <w:tc>
          <w:tcPr>
            <w:tcW w:w="1166" w:type="dxa"/>
          </w:tcPr>
          <w:p w:rsidR="002802CB" w:rsidRPr="00431EA2" w:rsidRDefault="00431EA2" w:rsidP="002802CB">
            <w:pPr>
              <w:pStyle w:val="Table"/>
              <w:keepNext/>
              <w:jc w:val="center"/>
              <w:rPr>
                <w:rFonts w:cs="Tahoma"/>
              </w:rPr>
            </w:pPr>
            <w:r w:rsidRPr="00431EA2">
              <w:rPr>
                <w:rFonts w:cs="Tahoma"/>
              </w:rPr>
              <w:t>-4.0</w:t>
            </w:r>
          </w:p>
        </w:tc>
        <w:tc>
          <w:tcPr>
            <w:tcW w:w="1183" w:type="dxa"/>
          </w:tcPr>
          <w:p w:rsidR="002802CB" w:rsidRPr="00DE7FB1" w:rsidRDefault="00431EA2" w:rsidP="002802CB">
            <w:pPr>
              <w:pStyle w:val="Table"/>
              <w:keepNext/>
              <w:jc w:val="center"/>
              <w:rPr>
                <w:rFonts w:cs="Tahoma"/>
              </w:rPr>
            </w:pPr>
            <w:r>
              <w:rPr>
                <w:rFonts w:cs="Tahoma"/>
              </w:rPr>
              <w:t>0.4</w:t>
            </w:r>
          </w:p>
        </w:tc>
        <w:tc>
          <w:tcPr>
            <w:tcW w:w="1243" w:type="dxa"/>
          </w:tcPr>
          <w:p w:rsidR="002802CB" w:rsidRPr="00BD6FB1" w:rsidRDefault="00431EA2" w:rsidP="002802CB">
            <w:pPr>
              <w:pStyle w:val="Table"/>
              <w:keepNext/>
              <w:jc w:val="center"/>
              <w:rPr>
                <w:rFonts w:cs="Tahoma"/>
              </w:rPr>
            </w:pPr>
            <w:r>
              <w:rPr>
                <w:rFonts w:cs="Tahoma"/>
              </w:rPr>
              <w:t>2.4</w:t>
            </w:r>
          </w:p>
        </w:tc>
      </w:tr>
    </w:tbl>
    <w:p w:rsidR="00F408E1" w:rsidRDefault="009A6678" w:rsidP="00A76322">
      <w:r>
        <w:t>Source:</w:t>
      </w:r>
      <w:r w:rsidR="00A76322">
        <w:t xml:space="preserve">World Economic Outlook, </w:t>
      </w:r>
      <w:r w:rsidR="00F2303F">
        <w:t>April</w:t>
      </w:r>
      <w:r w:rsidR="002473D0">
        <w:t xml:space="preserve"> 2021</w:t>
      </w:r>
      <w:r w:rsidR="00A76322">
        <w:t>.</w:t>
      </w:r>
    </w:p>
    <w:p w:rsidR="00A76322" w:rsidRDefault="00A76322" w:rsidP="00B802D6">
      <w:pPr>
        <w:pStyle w:val="NumberedPara"/>
        <w:numPr>
          <w:ilvl w:val="0"/>
          <w:numId w:val="0"/>
        </w:numPr>
        <w:ind w:left="539"/>
        <w:jc w:val="left"/>
      </w:pPr>
      <w:bookmarkStart w:id="36" w:name="_Toc349823803"/>
      <w:bookmarkStart w:id="37" w:name="_Toc79827147"/>
      <w:r>
        <w:t xml:space="preserve">Table </w:t>
      </w:r>
      <w:r w:rsidR="00DF033A">
        <w:fldChar w:fldCharType="begin"/>
      </w:r>
      <w:r>
        <w:instrText xml:space="preserve"> SEQ Table \* ARABIC </w:instrText>
      </w:r>
      <w:r w:rsidR="00DF033A">
        <w:fldChar w:fldCharType="separate"/>
      </w:r>
      <w:r w:rsidR="007A24D6">
        <w:rPr>
          <w:noProof/>
        </w:rPr>
        <w:t>3</w:t>
      </w:r>
      <w:r w:rsidR="00DF033A">
        <w:fldChar w:fldCharType="end"/>
      </w:r>
      <w:r>
        <w:t>: Inflation (CPI) - Selected Countries</w:t>
      </w:r>
      <w:bookmarkEnd w:id="36"/>
      <w:bookmarkEnd w:id="37"/>
    </w:p>
    <w:tbl>
      <w:tblPr>
        <w:tblW w:w="7211"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1002"/>
        <w:gridCol w:w="1004"/>
        <w:gridCol w:w="1006"/>
        <w:gridCol w:w="988"/>
        <w:gridCol w:w="1038"/>
      </w:tblGrid>
      <w:tr w:rsidR="002F00ED" w:rsidRPr="00D434BB" w:rsidTr="00D74658">
        <w:trPr>
          <w:trHeight w:val="20"/>
        </w:trPr>
        <w:tc>
          <w:tcPr>
            <w:tcW w:w="2173" w:type="dxa"/>
            <w:vMerge w:val="restart"/>
            <w:shd w:val="clear" w:color="auto" w:fill="758453"/>
          </w:tcPr>
          <w:p w:rsidR="002F00ED" w:rsidRPr="00D434BB" w:rsidRDefault="002F00ED" w:rsidP="00A76322">
            <w:pPr>
              <w:pStyle w:val="Table"/>
              <w:rPr>
                <w:b/>
                <w:color w:val="FFFFFF"/>
              </w:rPr>
            </w:pPr>
            <w:r w:rsidRPr="00D434BB">
              <w:rPr>
                <w:b/>
                <w:color w:val="FFFFFF"/>
              </w:rPr>
              <w:t>Country</w:t>
            </w:r>
          </w:p>
        </w:tc>
        <w:tc>
          <w:tcPr>
            <w:tcW w:w="3012" w:type="dxa"/>
            <w:gridSpan w:val="3"/>
            <w:shd w:val="clear" w:color="auto" w:fill="758453"/>
          </w:tcPr>
          <w:p w:rsidR="002F00ED" w:rsidRPr="00D434BB" w:rsidRDefault="002F00ED" w:rsidP="00A76322">
            <w:pPr>
              <w:pStyle w:val="Table"/>
              <w:jc w:val="center"/>
              <w:rPr>
                <w:b/>
                <w:color w:val="FFFFFF"/>
              </w:rPr>
            </w:pPr>
            <w:r w:rsidRPr="00D434BB">
              <w:rPr>
                <w:b/>
                <w:color w:val="FFFFFF"/>
              </w:rPr>
              <w:t>Actual</w:t>
            </w:r>
          </w:p>
        </w:tc>
        <w:tc>
          <w:tcPr>
            <w:tcW w:w="2026" w:type="dxa"/>
            <w:gridSpan w:val="2"/>
            <w:shd w:val="clear" w:color="auto" w:fill="758453"/>
          </w:tcPr>
          <w:p w:rsidR="002F00ED" w:rsidRPr="00D434BB" w:rsidRDefault="002F00ED" w:rsidP="00A76322">
            <w:pPr>
              <w:pStyle w:val="Table"/>
              <w:jc w:val="center"/>
              <w:rPr>
                <w:b/>
                <w:color w:val="FFFFFF"/>
              </w:rPr>
            </w:pPr>
            <w:r>
              <w:rPr>
                <w:b/>
                <w:color w:val="FFFFFF"/>
              </w:rPr>
              <w:t>Forecast</w:t>
            </w:r>
          </w:p>
        </w:tc>
      </w:tr>
      <w:tr w:rsidR="004E503F" w:rsidRPr="00D434BB" w:rsidTr="00D74658">
        <w:trPr>
          <w:trHeight w:val="20"/>
        </w:trPr>
        <w:tc>
          <w:tcPr>
            <w:tcW w:w="2173" w:type="dxa"/>
            <w:vMerge/>
            <w:shd w:val="clear" w:color="auto" w:fill="758453"/>
          </w:tcPr>
          <w:p w:rsidR="004E503F" w:rsidRPr="00D434BB" w:rsidRDefault="004E503F" w:rsidP="004E503F">
            <w:pPr>
              <w:pStyle w:val="Table"/>
              <w:rPr>
                <w:b/>
                <w:color w:val="FFFFFF"/>
              </w:rPr>
            </w:pPr>
          </w:p>
        </w:tc>
        <w:tc>
          <w:tcPr>
            <w:tcW w:w="1002" w:type="dxa"/>
            <w:shd w:val="clear" w:color="auto" w:fill="758453"/>
          </w:tcPr>
          <w:p w:rsidR="004E503F" w:rsidRPr="00D434BB" w:rsidRDefault="004E503F" w:rsidP="004E503F">
            <w:pPr>
              <w:pStyle w:val="Table"/>
              <w:rPr>
                <w:b/>
                <w:color w:val="FFFFFF"/>
              </w:rPr>
            </w:pPr>
            <w:r>
              <w:rPr>
                <w:b/>
                <w:color w:val="FFFFFF"/>
              </w:rPr>
              <w:t>2018</w:t>
            </w:r>
          </w:p>
        </w:tc>
        <w:tc>
          <w:tcPr>
            <w:tcW w:w="1004" w:type="dxa"/>
            <w:shd w:val="clear" w:color="auto" w:fill="758453"/>
          </w:tcPr>
          <w:p w:rsidR="004E503F" w:rsidRPr="00D434BB" w:rsidRDefault="004E503F" w:rsidP="004E503F">
            <w:pPr>
              <w:pStyle w:val="Table"/>
              <w:rPr>
                <w:b/>
                <w:color w:val="FFFFFF"/>
              </w:rPr>
            </w:pPr>
            <w:r>
              <w:rPr>
                <w:b/>
                <w:color w:val="FFFFFF"/>
              </w:rPr>
              <w:t>2019</w:t>
            </w:r>
          </w:p>
        </w:tc>
        <w:tc>
          <w:tcPr>
            <w:tcW w:w="1006" w:type="dxa"/>
            <w:shd w:val="clear" w:color="auto" w:fill="758453"/>
          </w:tcPr>
          <w:p w:rsidR="004E503F" w:rsidRPr="00D434BB" w:rsidRDefault="004E503F" w:rsidP="004E503F">
            <w:pPr>
              <w:pStyle w:val="Table"/>
              <w:rPr>
                <w:b/>
                <w:color w:val="FFFFFF"/>
              </w:rPr>
            </w:pPr>
            <w:r>
              <w:rPr>
                <w:b/>
                <w:color w:val="FFFFFF"/>
              </w:rPr>
              <w:t>2020</w:t>
            </w:r>
          </w:p>
        </w:tc>
        <w:tc>
          <w:tcPr>
            <w:tcW w:w="988" w:type="dxa"/>
            <w:shd w:val="clear" w:color="auto" w:fill="758453"/>
          </w:tcPr>
          <w:p w:rsidR="004E503F" w:rsidRPr="00D434BB" w:rsidRDefault="004E503F" w:rsidP="004E503F">
            <w:pPr>
              <w:pStyle w:val="Table"/>
              <w:rPr>
                <w:b/>
                <w:color w:val="FFFFFF"/>
              </w:rPr>
            </w:pPr>
            <w:r>
              <w:rPr>
                <w:b/>
                <w:color w:val="FFFFFF"/>
              </w:rPr>
              <w:t>2021</w:t>
            </w:r>
          </w:p>
        </w:tc>
        <w:tc>
          <w:tcPr>
            <w:tcW w:w="1038" w:type="dxa"/>
            <w:shd w:val="clear" w:color="auto" w:fill="758453"/>
          </w:tcPr>
          <w:p w:rsidR="004E503F" w:rsidRPr="00D434BB" w:rsidRDefault="004E503F" w:rsidP="004E503F">
            <w:pPr>
              <w:pStyle w:val="Table"/>
              <w:rPr>
                <w:b/>
                <w:color w:val="FFFFFF"/>
              </w:rPr>
            </w:pPr>
            <w:r>
              <w:rPr>
                <w:b/>
                <w:color w:val="FFFFFF"/>
              </w:rPr>
              <w:t>2022</w:t>
            </w:r>
          </w:p>
        </w:tc>
      </w:tr>
      <w:tr w:rsidR="00AF22AF" w:rsidTr="00D74658">
        <w:trPr>
          <w:trHeight w:val="20"/>
        </w:trPr>
        <w:tc>
          <w:tcPr>
            <w:tcW w:w="2173" w:type="dxa"/>
          </w:tcPr>
          <w:p w:rsidR="00AF22AF" w:rsidRDefault="00AF22AF" w:rsidP="00AF22AF">
            <w:pPr>
              <w:pStyle w:val="Table"/>
            </w:pPr>
            <w:r>
              <w:t>Mexico</w:t>
            </w:r>
          </w:p>
        </w:tc>
        <w:tc>
          <w:tcPr>
            <w:tcW w:w="1002" w:type="dxa"/>
          </w:tcPr>
          <w:p w:rsidR="00AF22AF" w:rsidRPr="004F5BD9" w:rsidRDefault="00AF22AF" w:rsidP="00AF22AF">
            <w:pPr>
              <w:pStyle w:val="Table"/>
              <w:keepNext/>
              <w:jc w:val="center"/>
              <w:rPr>
                <w:rFonts w:cs="Tahoma"/>
              </w:rPr>
            </w:pPr>
            <w:r>
              <w:rPr>
                <w:rFonts w:cs="Tahoma"/>
              </w:rPr>
              <w:t>4.9</w:t>
            </w:r>
          </w:p>
        </w:tc>
        <w:tc>
          <w:tcPr>
            <w:tcW w:w="1004" w:type="dxa"/>
          </w:tcPr>
          <w:p w:rsidR="00AF22AF" w:rsidRPr="004F5BD9" w:rsidRDefault="00AF22AF" w:rsidP="00AF22AF">
            <w:pPr>
              <w:pStyle w:val="Table"/>
              <w:keepNext/>
              <w:jc w:val="center"/>
              <w:rPr>
                <w:rFonts w:cs="Tahoma"/>
              </w:rPr>
            </w:pPr>
            <w:r>
              <w:rPr>
                <w:rFonts w:cs="Tahoma"/>
              </w:rPr>
              <w:t>3.6</w:t>
            </w:r>
          </w:p>
        </w:tc>
        <w:tc>
          <w:tcPr>
            <w:tcW w:w="1006" w:type="dxa"/>
          </w:tcPr>
          <w:p w:rsidR="00AF22AF" w:rsidRPr="002473D0" w:rsidRDefault="00AF22AF" w:rsidP="002473D0">
            <w:pPr>
              <w:pStyle w:val="Table"/>
              <w:keepNext/>
              <w:jc w:val="center"/>
              <w:rPr>
                <w:rFonts w:cs="Tahoma"/>
              </w:rPr>
            </w:pPr>
            <w:r w:rsidRPr="002473D0">
              <w:rPr>
                <w:rFonts w:cs="Tahoma"/>
              </w:rPr>
              <w:t>3.4</w:t>
            </w:r>
          </w:p>
        </w:tc>
        <w:tc>
          <w:tcPr>
            <w:tcW w:w="988" w:type="dxa"/>
          </w:tcPr>
          <w:p w:rsidR="00AF22AF" w:rsidRPr="002473D0" w:rsidRDefault="00AF22AF" w:rsidP="002473D0">
            <w:pPr>
              <w:pStyle w:val="Table"/>
              <w:keepNext/>
              <w:jc w:val="center"/>
              <w:rPr>
                <w:rFonts w:cs="Tahoma"/>
              </w:rPr>
            </w:pPr>
            <w:r w:rsidRPr="002473D0">
              <w:rPr>
                <w:rFonts w:cs="Tahoma"/>
              </w:rPr>
              <w:t>3.5</w:t>
            </w:r>
          </w:p>
        </w:tc>
        <w:tc>
          <w:tcPr>
            <w:tcW w:w="1038" w:type="dxa"/>
          </w:tcPr>
          <w:p w:rsidR="00AF22AF" w:rsidRPr="002473D0" w:rsidRDefault="00AF22AF" w:rsidP="002473D0">
            <w:pPr>
              <w:pStyle w:val="Table"/>
              <w:keepNext/>
              <w:jc w:val="center"/>
              <w:rPr>
                <w:rFonts w:cs="Tahoma"/>
              </w:rPr>
            </w:pPr>
            <w:r w:rsidRPr="002473D0">
              <w:rPr>
                <w:rFonts w:cs="Tahoma"/>
              </w:rPr>
              <w:t>3.1</w:t>
            </w:r>
          </w:p>
        </w:tc>
      </w:tr>
      <w:tr w:rsidR="004E503F" w:rsidTr="00D74658">
        <w:trPr>
          <w:trHeight w:val="20"/>
        </w:trPr>
        <w:tc>
          <w:tcPr>
            <w:tcW w:w="2173" w:type="dxa"/>
          </w:tcPr>
          <w:p w:rsidR="004E503F" w:rsidRDefault="004E503F" w:rsidP="004E503F">
            <w:pPr>
              <w:pStyle w:val="Table"/>
            </w:pPr>
            <w:r>
              <w:t>Indonesia</w:t>
            </w:r>
          </w:p>
        </w:tc>
        <w:tc>
          <w:tcPr>
            <w:tcW w:w="1002" w:type="dxa"/>
          </w:tcPr>
          <w:p w:rsidR="004E503F" w:rsidRPr="004F5BD9" w:rsidRDefault="004E503F" w:rsidP="004E503F">
            <w:pPr>
              <w:pStyle w:val="Table"/>
              <w:keepNext/>
              <w:jc w:val="center"/>
              <w:rPr>
                <w:rFonts w:cs="Tahoma"/>
              </w:rPr>
            </w:pPr>
            <w:r>
              <w:rPr>
                <w:rFonts w:cs="Tahoma"/>
              </w:rPr>
              <w:t>3.2</w:t>
            </w:r>
          </w:p>
        </w:tc>
        <w:tc>
          <w:tcPr>
            <w:tcW w:w="1004" w:type="dxa"/>
          </w:tcPr>
          <w:p w:rsidR="004E503F" w:rsidRPr="004F5BD9" w:rsidRDefault="004E503F" w:rsidP="004E503F">
            <w:pPr>
              <w:pStyle w:val="Table"/>
              <w:keepNext/>
              <w:jc w:val="center"/>
              <w:rPr>
                <w:rFonts w:cs="Tahoma"/>
              </w:rPr>
            </w:pPr>
            <w:r>
              <w:rPr>
                <w:rFonts w:cs="Tahoma"/>
              </w:rPr>
              <w:t>2.8</w:t>
            </w:r>
          </w:p>
        </w:tc>
        <w:tc>
          <w:tcPr>
            <w:tcW w:w="1006" w:type="dxa"/>
          </w:tcPr>
          <w:p w:rsidR="004E503F" w:rsidRPr="00D74658" w:rsidRDefault="00D74658" w:rsidP="004E503F">
            <w:pPr>
              <w:pStyle w:val="Table"/>
              <w:keepNext/>
              <w:jc w:val="center"/>
              <w:rPr>
                <w:rFonts w:cs="Tahoma"/>
              </w:rPr>
            </w:pPr>
            <w:r>
              <w:rPr>
                <w:rFonts w:cs="Tahoma"/>
              </w:rPr>
              <w:t>2.0</w:t>
            </w:r>
          </w:p>
        </w:tc>
        <w:tc>
          <w:tcPr>
            <w:tcW w:w="988" w:type="dxa"/>
          </w:tcPr>
          <w:p w:rsidR="004E503F" w:rsidRPr="00523456" w:rsidRDefault="00D74658" w:rsidP="004E503F">
            <w:pPr>
              <w:pStyle w:val="Table"/>
              <w:keepNext/>
              <w:jc w:val="center"/>
              <w:rPr>
                <w:rFonts w:cs="Tahoma"/>
              </w:rPr>
            </w:pPr>
            <w:r>
              <w:rPr>
                <w:rFonts w:cs="Tahoma"/>
              </w:rPr>
              <w:t>2.0</w:t>
            </w:r>
          </w:p>
        </w:tc>
        <w:tc>
          <w:tcPr>
            <w:tcW w:w="1038" w:type="dxa"/>
            <w:vAlign w:val="center"/>
          </w:tcPr>
          <w:p w:rsidR="004E503F" w:rsidRPr="00BD6FB1" w:rsidRDefault="00D74658" w:rsidP="004E503F">
            <w:pPr>
              <w:pStyle w:val="Table"/>
              <w:keepNext/>
              <w:jc w:val="center"/>
              <w:rPr>
                <w:rFonts w:cs="Tahoma"/>
              </w:rPr>
            </w:pPr>
            <w:r>
              <w:rPr>
                <w:rFonts w:cs="Tahoma"/>
              </w:rPr>
              <w:t>3.1</w:t>
            </w:r>
          </w:p>
        </w:tc>
      </w:tr>
      <w:tr w:rsidR="004E503F" w:rsidTr="00D74658">
        <w:trPr>
          <w:trHeight w:val="20"/>
        </w:trPr>
        <w:tc>
          <w:tcPr>
            <w:tcW w:w="2173" w:type="dxa"/>
          </w:tcPr>
          <w:p w:rsidR="004E503F" w:rsidRDefault="004E503F" w:rsidP="004E503F">
            <w:pPr>
              <w:pStyle w:val="Table"/>
            </w:pPr>
            <w:r>
              <w:t>Turkey</w:t>
            </w:r>
          </w:p>
        </w:tc>
        <w:tc>
          <w:tcPr>
            <w:tcW w:w="1002" w:type="dxa"/>
          </w:tcPr>
          <w:p w:rsidR="004E503F" w:rsidRPr="004F5BD9" w:rsidRDefault="004E503F" w:rsidP="004E503F">
            <w:pPr>
              <w:pStyle w:val="Table"/>
              <w:keepNext/>
              <w:jc w:val="center"/>
              <w:rPr>
                <w:rFonts w:cs="Tahoma"/>
              </w:rPr>
            </w:pPr>
            <w:r>
              <w:rPr>
                <w:rFonts w:cs="Tahoma"/>
              </w:rPr>
              <w:t>16.3</w:t>
            </w:r>
          </w:p>
        </w:tc>
        <w:tc>
          <w:tcPr>
            <w:tcW w:w="1004" w:type="dxa"/>
          </w:tcPr>
          <w:p w:rsidR="004E503F" w:rsidRPr="004F5BD9" w:rsidRDefault="004E503F" w:rsidP="004E503F">
            <w:pPr>
              <w:pStyle w:val="Table"/>
              <w:keepNext/>
              <w:jc w:val="center"/>
              <w:rPr>
                <w:rFonts w:cs="Tahoma"/>
              </w:rPr>
            </w:pPr>
            <w:r>
              <w:rPr>
                <w:rFonts w:cs="Tahoma"/>
              </w:rPr>
              <w:t>15.2</w:t>
            </w:r>
          </w:p>
        </w:tc>
        <w:tc>
          <w:tcPr>
            <w:tcW w:w="1006" w:type="dxa"/>
          </w:tcPr>
          <w:p w:rsidR="004E503F" w:rsidRPr="00D74658" w:rsidRDefault="00D33A7B" w:rsidP="004E503F">
            <w:pPr>
              <w:pStyle w:val="Table"/>
              <w:keepNext/>
              <w:jc w:val="center"/>
              <w:rPr>
                <w:rFonts w:cs="Tahoma"/>
              </w:rPr>
            </w:pPr>
            <w:r>
              <w:rPr>
                <w:rFonts w:cs="Tahoma"/>
              </w:rPr>
              <w:t>12.3</w:t>
            </w:r>
          </w:p>
        </w:tc>
        <w:tc>
          <w:tcPr>
            <w:tcW w:w="988" w:type="dxa"/>
          </w:tcPr>
          <w:p w:rsidR="004E503F" w:rsidRPr="00523456" w:rsidRDefault="00D33A7B" w:rsidP="004E503F">
            <w:pPr>
              <w:pStyle w:val="Table"/>
              <w:keepNext/>
              <w:jc w:val="center"/>
              <w:rPr>
                <w:rFonts w:cs="Tahoma"/>
              </w:rPr>
            </w:pPr>
            <w:r>
              <w:rPr>
                <w:rFonts w:cs="Tahoma"/>
              </w:rPr>
              <w:t>13.6</w:t>
            </w:r>
          </w:p>
        </w:tc>
        <w:tc>
          <w:tcPr>
            <w:tcW w:w="1038" w:type="dxa"/>
            <w:vAlign w:val="center"/>
          </w:tcPr>
          <w:p w:rsidR="004E503F" w:rsidRPr="00BD6FB1" w:rsidRDefault="00D33A7B" w:rsidP="004E503F">
            <w:pPr>
              <w:pStyle w:val="Table"/>
              <w:keepNext/>
              <w:jc w:val="center"/>
              <w:rPr>
                <w:rFonts w:cs="Tahoma"/>
              </w:rPr>
            </w:pPr>
            <w:r>
              <w:rPr>
                <w:rFonts w:cs="Tahoma"/>
              </w:rPr>
              <w:t>11.8</w:t>
            </w:r>
          </w:p>
        </w:tc>
      </w:tr>
      <w:tr w:rsidR="004E503F" w:rsidTr="00D74658">
        <w:trPr>
          <w:trHeight w:val="20"/>
        </w:trPr>
        <w:tc>
          <w:tcPr>
            <w:tcW w:w="2173" w:type="dxa"/>
          </w:tcPr>
          <w:p w:rsidR="004E503F" w:rsidRDefault="004E503F" w:rsidP="004E503F">
            <w:pPr>
              <w:pStyle w:val="Table"/>
            </w:pPr>
            <w:r>
              <w:t>United States</w:t>
            </w:r>
          </w:p>
        </w:tc>
        <w:tc>
          <w:tcPr>
            <w:tcW w:w="1002" w:type="dxa"/>
          </w:tcPr>
          <w:p w:rsidR="004E503F" w:rsidRPr="004F5BD9" w:rsidRDefault="004E503F" w:rsidP="004E503F">
            <w:pPr>
              <w:pStyle w:val="Table"/>
              <w:keepNext/>
              <w:jc w:val="center"/>
              <w:rPr>
                <w:rFonts w:cs="Tahoma"/>
              </w:rPr>
            </w:pPr>
            <w:r>
              <w:rPr>
                <w:rFonts w:cs="Tahoma"/>
              </w:rPr>
              <w:t>2.4</w:t>
            </w:r>
          </w:p>
        </w:tc>
        <w:tc>
          <w:tcPr>
            <w:tcW w:w="1004" w:type="dxa"/>
          </w:tcPr>
          <w:p w:rsidR="004E503F" w:rsidRPr="00523456" w:rsidRDefault="004E503F" w:rsidP="004E503F">
            <w:pPr>
              <w:pStyle w:val="Table"/>
              <w:keepNext/>
              <w:jc w:val="center"/>
              <w:rPr>
                <w:rFonts w:cs="Tahoma"/>
              </w:rPr>
            </w:pPr>
            <w:r>
              <w:rPr>
                <w:rFonts w:cs="Tahoma"/>
              </w:rPr>
              <w:t>1.8</w:t>
            </w:r>
          </w:p>
        </w:tc>
        <w:tc>
          <w:tcPr>
            <w:tcW w:w="1006" w:type="dxa"/>
          </w:tcPr>
          <w:p w:rsidR="004E503F" w:rsidRPr="00D74658" w:rsidRDefault="00856AC2" w:rsidP="004E503F">
            <w:pPr>
              <w:pStyle w:val="Table"/>
              <w:keepNext/>
              <w:jc w:val="center"/>
              <w:rPr>
                <w:rFonts w:cs="Tahoma"/>
              </w:rPr>
            </w:pPr>
            <w:r w:rsidRPr="00D74658">
              <w:rPr>
                <w:rFonts w:cs="Tahoma"/>
              </w:rPr>
              <w:t>1.2</w:t>
            </w:r>
          </w:p>
        </w:tc>
        <w:tc>
          <w:tcPr>
            <w:tcW w:w="988" w:type="dxa"/>
          </w:tcPr>
          <w:p w:rsidR="004E503F" w:rsidRPr="00523456" w:rsidRDefault="00856AC2" w:rsidP="004E503F">
            <w:pPr>
              <w:pStyle w:val="Table"/>
              <w:keepNext/>
              <w:jc w:val="center"/>
              <w:rPr>
                <w:rFonts w:cs="Tahoma"/>
              </w:rPr>
            </w:pPr>
            <w:r>
              <w:rPr>
                <w:rFonts w:cs="Tahoma"/>
              </w:rPr>
              <w:t>2.3</w:t>
            </w:r>
          </w:p>
        </w:tc>
        <w:tc>
          <w:tcPr>
            <w:tcW w:w="1038" w:type="dxa"/>
            <w:vAlign w:val="center"/>
          </w:tcPr>
          <w:p w:rsidR="004E503F" w:rsidRPr="00BD6FB1" w:rsidRDefault="00856AC2" w:rsidP="004E503F">
            <w:pPr>
              <w:pStyle w:val="Table"/>
              <w:keepNext/>
              <w:jc w:val="center"/>
              <w:rPr>
                <w:rFonts w:cs="Tahoma"/>
              </w:rPr>
            </w:pPr>
            <w:r>
              <w:rPr>
                <w:rFonts w:cs="Tahoma"/>
              </w:rPr>
              <w:t>2.4</w:t>
            </w:r>
          </w:p>
        </w:tc>
      </w:tr>
      <w:tr w:rsidR="004E503F" w:rsidTr="00D74658">
        <w:trPr>
          <w:trHeight w:val="20"/>
        </w:trPr>
        <w:tc>
          <w:tcPr>
            <w:tcW w:w="2173" w:type="dxa"/>
          </w:tcPr>
          <w:p w:rsidR="004E503F" w:rsidRDefault="004E503F" w:rsidP="004E503F">
            <w:pPr>
              <w:pStyle w:val="Table"/>
            </w:pPr>
            <w:r>
              <w:t>Germany</w:t>
            </w:r>
          </w:p>
        </w:tc>
        <w:tc>
          <w:tcPr>
            <w:tcW w:w="1002" w:type="dxa"/>
          </w:tcPr>
          <w:p w:rsidR="004E503F" w:rsidRPr="004F5BD9" w:rsidRDefault="004E503F" w:rsidP="004E503F">
            <w:pPr>
              <w:pStyle w:val="Table"/>
              <w:keepNext/>
              <w:jc w:val="center"/>
              <w:rPr>
                <w:rFonts w:cs="Tahoma"/>
              </w:rPr>
            </w:pPr>
            <w:r>
              <w:rPr>
                <w:rFonts w:cs="Tahoma"/>
              </w:rPr>
              <w:t>1.9</w:t>
            </w:r>
          </w:p>
        </w:tc>
        <w:tc>
          <w:tcPr>
            <w:tcW w:w="1004" w:type="dxa"/>
          </w:tcPr>
          <w:p w:rsidR="004E503F" w:rsidRPr="00523456" w:rsidRDefault="004E503F" w:rsidP="004E503F">
            <w:pPr>
              <w:pStyle w:val="Table"/>
              <w:keepNext/>
              <w:jc w:val="center"/>
              <w:rPr>
                <w:rFonts w:cs="Tahoma"/>
              </w:rPr>
            </w:pPr>
            <w:r>
              <w:rPr>
                <w:rFonts w:cs="Tahoma"/>
              </w:rPr>
              <w:t>1.3</w:t>
            </w:r>
          </w:p>
        </w:tc>
        <w:tc>
          <w:tcPr>
            <w:tcW w:w="1006" w:type="dxa"/>
          </w:tcPr>
          <w:p w:rsidR="004E503F" w:rsidRPr="00D74658" w:rsidRDefault="00D33A7B" w:rsidP="004E503F">
            <w:pPr>
              <w:pStyle w:val="Table"/>
              <w:keepNext/>
              <w:jc w:val="center"/>
              <w:rPr>
                <w:rFonts w:cs="Tahoma"/>
              </w:rPr>
            </w:pPr>
            <w:r>
              <w:rPr>
                <w:rFonts w:cs="Tahoma"/>
              </w:rPr>
              <w:t>0.4</w:t>
            </w:r>
          </w:p>
        </w:tc>
        <w:tc>
          <w:tcPr>
            <w:tcW w:w="988" w:type="dxa"/>
          </w:tcPr>
          <w:p w:rsidR="004E503F" w:rsidRPr="00523456" w:rsidRDefault="00D33A7B" w:rsidP="004E503F">
            <w:pPr>
              <w:pStyle w:val="Table"/>
              <w:keepNext/>
              <w:jc w:val="center"/>
              <w:rPr>
                <w:rFonts w:cs="Tahoma"/>
              </w:rPr>
            </w:pPr>
            <w:r>
              <w:rPr>
                <w:rFonts w:cs="Tahoma"/>
              </w:rPr>
              <w:t>2.2</w:t>
            </w:r>
          </w:p>
        </w:tc>
        <w:tc>
          <w:tcPr>
            <w:tcW w:w="1038" w:type="dxa"/>
            <w:vAlign w:val="center"/>
          </w:tcPr>
          <w:p w:rsidR="004E503F" w:rsidRPr="00BD6FB1" w:rsidRDefault="00D33A7B" w:rsidP="004E503F">
            <w:pPr>
              <w:pStyle w:val="Table"/>
              <w:keepNext/>
              <w:jc w:val="center"/>
              <w:rPr>
                <w:rFonts w:cs="Tahoma"/>
              </w:rPr>
            </w:pPr>
            <w:r>
              <w:rPr>
                <w:rFonts w:cs="Tahoma"/>
              </w:rPr>
              <w:t>1.1</w:t>
            </w:r>
          </w:p>
        </w:tc>
      </w:tr>
      <w:tr w:rsidR="004E503F" w:rsidTr="00D74658">
        <w:trPr>
          <w:trHeight w:val="20"/>
        </w:trPr>
        <w:tc>
          <w:tcPr>
            <w:tcW w:w="2173" w:type="dxa"/>
          </w:tcPr>
          <w:p w:rsidR="004E503F" w:rsidRDefault="004E503F" w:rsidP="004E503F">
            <w:pPr>
              <w:pStyle w:val="Table"/>
            </w:pPr>
            <w:r>
              <w:t>United Kingdom</w:t>
            </w:r>
          </w:p>
        </w:tc>
        <w:tc>
          <w:tcPr>
            <w:tcW w:w="1002" w:type="dxa"/>
          </w:tcPr>
          <w:p w:rsidR="004E503F" w:rsidRPr="004F5BD9" w:rsidRDefault="004E503F" w:rsidP="004E503F">
            <w:pPr>
              <w:pStyle w:val="Table"/>
              <w:keepNext/>
              <w:jc w:val="center"/>
              <w:rPr>
                <w:rFonts w:cs="Tahoma"/>
              </w:rPr>
            </w:pPr>
            <w:r>
              <w:rPr>
                <w:rFonts w:cs="Tahoma"/>
              </w:rPr>
              <w:t>2.5</w:t>
            </w:r>
          </w:p>
        </w:tc>
        <w:tc>
          <w:tcPr>
            <w:tcW w:w="1004" w:type="dxa"/>
          </w:tcPr>
          <w:p w:rsidR="004E503F" w:rsidRPr="00523456" w:rsidRDefault="004E503F" w:rsidP="004E503F">
            <w:pPr>
              <w:pStyle w:val="Table"/>
              <w:keepNext/>
              <w:jc w:val="center"/>
              <w:rPr>
                <w:rFonts w:cs="Tahoma"/>
              </w:rPr>
            </w:pPr>
            <w:r>
              <w:rPr>
                <w:rFonts w:cs="Tahoma"/>
              </w:rPr>
              <w:t>1.8</w:t>
            </w:r>
          </w:p>
        </w:tc>
        <w:tc>
          <w:tcPr>
            <w:tcW w:w="1006" w:type="dxa"/>
          </w:tcPr>
          <w:p w:rsidR="004E503F" w:rsidRPr="00D74658" w:rsidRDefault="00D33A7B" w:rsidP="004E503F">
            <w:pPr>
              <w:pStyle w:val="Table"/>
              <w:keepNext/>
              <w:jc w:val="center"/>
              <w:rPr>
                <w:rFonts w:cs="Tahoma"/>
              </w:rPr>
            </w:pPr>
            <w:r>
              <w:rPr>
                <w:rFonts w:cs="Tahoma"/>
              </w:rPr>
              <w:t>0.9</w:t>
            </w:r>
          </w:p>
        </w:tc>
        <w:tc>
          <w:tcPr>
            <w:tcW w:w="988" w:type="dxa"/>
          </w:tcPr>
          <w:p w:rsidR="004E503F" w:rsidRPr="00523456" w:rsidRDefault="00D33A7B" w:rsidP="004E503F">
            <w:pPr>
              <w:pStyle w:val="Table"/>
              <w:keepNext/>
              <w:jc w:val="center"/>
              <w:rPr>
                <w:rFonts w:cs="Tahoma"/>
              </w:rPr>
            </w:pPr>
            <w:r>
              <w:rPr>
                <w:rFonts w:cs="Tahoma"/>
              </w:rPr>
              <w:t>1.5</w:t>
            </w:r>
          </w:p>
        </w:tc>
        <w:tc>
          <w:tcPr>
            <w:tcW w:w="1038" w:type="dxa"/>
            <w:vAlign w:val="center"/>
          </w:tcPr>
          <w:p w:rsidR="004E503F" w:rsidRPr="00BD6FB1" w:rsidRDefault="00D33A7B" w:rsidP="004E503F">
            <w:pPr>
              <w:pStyle w:val="Table"/>
              <w:keepNext/>
              <w:jc w:val="center"/>
              <w:rPr>
                <w:rFonts w:cs="Tahoma"/>
              </w:rPr>
            </w:pPr>
            <w:r>
              <w:rPr>
                <w:rFonts w:cs="Tahoma"/>
              </w:rPr>
              <w:t>1.9</w:t>
            </w:r>
          </w:p>
        </w:tc>
      </w:tr>
      <w:tr w:rsidR="004E503F" w:rsidTr="00D74658">
        <w:trPr>
          <w:trHeight w:val="20"/>
        </w:trPr>
        <w:tc>
          <w:tcPr>
            <w:tcW w:w="2173" w:type="dxa"/>
          </w:tcPr>
          <w:p w:rsidR="004E503F" w:rsidRDefault="004E503F" w:rsidP="004E503F">
            <w:pPr>
              <w:pStyle w:val="Table"/>
            </w:pPr>
            <w:r>
              <w:t>China</w:t>
            </w:r>
          </w:p>
        </w:tc>
        <w:tc>
          <w:tcPr>
            <w:tcW w:w="1002" w:type="dxa"/>
            <w:shd w:val="clear" w:color="auto" w:fill="auto"/>
          </w:tcPr>
          <w:p w:rsidR="004E503F" w:rsidRPr="004F5BD9" w:rsidRDefault="004E503F" w:rsidP="004E503F">
            <w:pPr>
              <w:pStyle w:val="Table"/>
              <w:keepNext/>
              <w:jc w:val="center"/>
              <w:rPr>
                <w:rFonts w:cs="Tahoma"/>
              </w:rPr>
            </w:pPr>
            <w:r>
              <w:rPr>
                <w:rFonts w:cs="Tahoma"/>
              </w:rPr>
              <w:t>2.1</w:t>
            </w:r>
          </w:p>
        </w:tc>
        <w:tc>
          <w:tcPr>
            <w:tcW w:w="1004" w:type="dxa"/>
            <w:shd w:val="clear" w:color="auto" w:fill="auto"/>
            <w:vAlign w:val="bottom"/>
          </w:tcPr>
          <w:p w:rsidR="004E503F" w:rsidRPr="00113F36" w:rsidRDefault="004E503F" w:rsidP="004E503F">
            <w:pPr>
              <w:pStyle w:val="Table"/>
              <w:keepNext/>
              <w:jc w:val="center"/>
              <w:rPr>
                <w:rFonts w:cs="Tahoma"/>
              </w:rPr>
            </w:pPr>
            <w:r w:rsidRPr="00113F36">
              <w:rPr>
                <w:rFonts w:cs="Tahoma"/>
              </w:rPr>
              <w:t>2.9</w:t>
            </w:r>
          </w:p>
        </w:tc>
        <w:tc>
          <w:tcPr>
            <w:tcW w:w="1006" w:type="dxa"/>
            <w:shd w:val="clear" w:color="auto" w:fill="auto"/>
            <w:vAlign w:val="bottom"/>
          </w:tcPr>
          <w:p w:rsidR="004E503F" w:rsidRPr="00D74658" w:rsidRDefault="00D74658" w:rsidP="004E503F">
            <w:pPr>
              <w:pStyle w:val="Table"/>
              <w:keepNext/>
              <w:jc w:val="center"/>
              <w:rPr>
                <w:rFonts w:cs="Tahoma"/>
              </w:rPr>
            </w:pPr>
            <w:r>
              <w:rPr>
                <w:rFonts w:cs="Tahoma"/>
              </w:rPr>
              <w:t>2.4</w:t>
            </w:r>
          </w:p>
        </w:tc>
        <w:tc>
          <w:tcPr>
            <w:tcW w:w="988" w:type="dxa"/>
            <w:shd w:val="clear" w:color="auto" w:fill="auto"/>
            <w:vAlign w:val="bottom"/>
          </w:tcPr>
          <w:p w:rsidR="004E503F" w:rsidRPr="00113F36" w:rsidRDefault="00D74658" w:rsidP="004E503F">
            <w:pPr>
              <w:pStyle w:val="Table"/>
              <w:keepNext/>
              <w:jc w:val="center"/>
              <w:rPr>
                <w:rFonts w:cs="Tahoma"/>
              </w:rPr>
            </w:pPr>
            <w:r>
              <w:rPr>
                <w:rFonts w:cs="Tahoma"/>
              </w:rPr>
              <w:t>1.2</w:t>
            </w:r>
          </w:p>
        </w:tc>
        <w:tc>
          <w:tcPr>
            <w:tcW w:w="1038" w:type="dxa"/>
            <w:shd w:val="clear" w:color="auto" w:fill="auto"/>
            <w:vAlign w:val="bottom"/>
          </w:tcPr>
          <w:p w:rsidR="004E503F" w:rsidRPr="00113F36" w:rsidRDefault="00D74658" w:rsidP="004E503F">
            <w:pPr>
              <w:pStyle w:val="Table"/>
              <w:keepNext/>
              <w:jc w:val="center"/>
              <w:rPr>
                <w:rFonts w:cs="Tahoma"/>
              </w:rPr>
            </w:pPr>
            <w:r>
              <w:rPr>
                <w:rFonts w:cs="Tahoma"/>
              </w:rPr>
              <w:t>1.9</w:t>
            </w:r>
          </w:p>
        </w:tc>
      </w:tr>
      <w:tr w:rsidR="004E503F" w:rsidTr="00D74658">
        <w:trPr>
          <w:trHeight w:val="20"/>
        </w:trPr>
        <w:tc>
          <w:tcPr>
            <w:tcW w:w="2173" w:type="dxa"/>
          </w:tcPr>
          <w:p w:rsidR="004E503F" w:rsidRDefault="004E503F" w:rsidP="004E503F">
            <w:pPr>
              <w:pStyle w:val="Table"/>
            </w:pPr>
            <w:r>
              <w:t>Ghana</w:t>
            </w:r>
          </w:p>
        </w:tc>
        <w:tc>
          <w:tcPr>
            <w:tcW w:w="1002" w:type="dxa"/>
          </w:tcPr>
          <w:p w:rsidR="004E503F" w:rsidRPr="004F5BD9" w:rsidRDefault="004E503F" w:rsidP="004E503F">
            <w:pPr>
              <w:pStyle w:val="Table"/>
              <w:keepNext/>
              <w:jc w:val="center"/>
              <w:rPr>
                <w:rFonts w:cs="Tahoma"/>
              </w:rPr>
            </w:pPr>
            <w:r>
              <w:rPr>
                <w:rFonts w:cs="Tahoma"/>
              </w:rPr>
              <w:t>9.8</w:t>
            </w:r>
          </w:p>
        </w:tc>
        <w:tc>
          <w:tcPr>
            <w:tcW w:w="1004" w:type="dxa"/>
          </w:tcPr>
          <w:p w:rsidR="004E503F" w:rsidRPr="00113F36" w:rsidRDefault="004E503F" w:rsidP="004E503F">
            <w:pPr>
              <w:pStyle w:val="Table"/>
              <w:keepNext/>
              <w:jc w:val="center"/>
              <w:rPr>
                <w:rFonts w:cs="Tahoma"/>
              </w:rPr>
            </w:pPr>
            <w:r w:rsidRPr="00113F36">
              <w:rPr>
                <w:rFonts w:cs="Tahoma"/>
              </w:rPr>
              <w:t xml:space="preserve"> 7.2</w:t>
            </w:r>
          </w:p>
        </w:tc>
        <w:tc>
          <w:tcPr>
            <w:tcW w:w="1006" w:type="dxa"/>
          </w:tcPr>
          <w:p w:rsidR="004E503F" w:rsidRPr="00D74658" w:rsidRDefault="00D74658" w:rsidP="004E503F">
            <w:pPr>
              <w:pStyle w:val="Table"/>
              <w:keepNext/>
              <w:jc w:val="center"/>
              <w:rPr>
                <w:rFonts w:cs="Tahoma"/>
              </w:rPr>
            </w:pPr>
            <w:r>
              <w:rPr>
                <w:rFonts w:cs="Tahoma"/>
              </w:rPr>
              <w:t>9.9</w:t>
            </w:r>
          </w:p>
        </w:tc>
        <w:tc>
          <w:tcPr>
            <w:tcW w:w="988" w:type="dxa"/>
          </w:tcPr>
          <w:p w:rsidR="004E503F" w:rsidRPr="00113F36" w:rsidRDefault="00D74658" w:rsidP="004E503F">
            <w:pPr>
              <w:pStyle w:val="Table"/>
              <w:keepNext/>
              <w:jc w:val="center"/>
              <w:rPr>
                <w:rFonts w:cs="Tahoma"/>
              </w:rPr>
            </w:pPr>
            <w:r>
              <w:rPr>
                <w:rFonts w:cs="Tahoma"/>
              </w:rPr>
              <w:t>9.0</w:t>
            </w:r>
          </w:p>
        </w:tc>
        <w:tc>
          <w:tcPr>
            <w:tcW w:w="1038" w:type="dxa"/>
          </w:tcPr>
          <w:p w:rsidR="004E503F" w:rsidRPr="00113F36" w:rsidRDefault="00D74658" w:rsidP="004E503F">
            <w:pPr>
              <w:pStyle w:val="Table"/>
              <w:keepNext/>
              <w:jc w:val="center"/>
              <w:rPr>
                <w:rFonts w:cs="Tahoma"/>
              </w:rPr>
            </w:pPr>
            <w:r>
              <w:rPr>
                <w:rFonts w:cs="Tahoma"/>
              </w:rPr>
              <w:t>8.2</w:t>
            </w:r>
          </w:p>
        </w:tc>
      </w:tr>
      <w:tr w:rsidR="004E503F" w:rsidTr="00D74658">
        <w:trPr>
          <w:trHeight w:val="20"/>
        </w:trPr>
        <w:tc>
          <w:tcPr>
            <w:tcW w:w="2173" w:type="dxa"/>
          </w:tcPr>
          <w:p w:rsidR="004E503F" w:rsidRDefault="004E503F" w:rsidP="004E503F">
            <w:pPr>
              <w:pStyle w:val="Table"/>
            </w:pPr>
            <w:r>
              <w:t>South Africa</w:t>
            </w:r>
          </w:p>
        </w:tc>
        <w:tc>
          <w:tcPr>
            <w:tcW w:w="1002" w:type="dxa"/>
          </w:tcPr>
          <w:p w:rsidR="004E503F" w:rsidRPr="004F5BD9" w:rsidRDefault="004E503F" w:rsidP="004E503F">
            <w:pPr>
              <w:pStyle w:val="Table"/>
              <w:keepNext/>
              <w:jc w:val="center"/>
              <w:rPr>
                <w:rFonts w:cs="Tahoma"/>
              </w:rPr>
            </w:pPr>
            <w:r>
              <w:rPr>
                <w:rFonts w:cs="Tahoma"/>
              </w:rPr>
              <w:t>4.6</w:t>
            </w:r>
          </w:p>
        </w:tc>
        <w:tc>
          <w:tcPr>
            <w:tcW w:w="1004" w:type="dxa"/>
          </w:tcPr>
          <w:p w:rsidR="004E503F" w:rsidRPr="00113F36" w:rsidRDefault="004E503F" w:rsidP="004E503F">
            <w:pPr>
              <w:pStyle w:val="Table"/>
              <w:keepNext/>
              <w:jc w:val="center"/>
              <w:rPr>
                <w:rFonts w:cs="Tahoma"/>
              </w:rPr>
            </w:pPr>
            <w:r w:rsidRPr="00113F36">
              <w:rPr>
                <w:rFonts w:cs="Tahoma"/>
              </w:rPr>
              <w:t>4.1</w:t>
            </w:r>
          </w:p>
        </w:tc>
        <w:tc>
          <w:tcPr>
            <w:tcW w:w="1006" w:type="dxa"/>
          </w:tcPr>
          <w:p w:rsidR="004E503F" w:rsidRPr="00D74658" w:rsidRDefault="00D74658" w:rsidP="004E503F">
            <w:pPr>
              <w:pStyle w:val="Table"/>
              <w:keepNext/>
              <w:jc w:val="center"/>
              <w:rPr>
                <w:rFonts w:cs="Tahoma"/>
              </w:rPr>
            </w:pPr>
            <w:r>
              <w:rPr>
                <w:rFonts w:cs="Tahoma"/>
              </w:rPr>
              <w:t>3.3</w:t>
            </w:r>
          </w:p>
        </w:tc>
        <w:tc>
          <w:tcPr>
            <w:tcW w:w="988" w:type="dxa"/>
          </w:tcPr>
          <w:p w:rsidR="004E503F" w:rsidRPr="00113F36" w:rsidRDefault="00D74658" w:rsidP="004E503F">
            <w:pPr>
              <w:pStyle w:val="Table"/>
              <w:keepNext/>
              <w:jc w:val="center"/>
              <w:rPr>
                <w:rFonts w:cs="Tahoma"/>
              </w:rPr>
            </w:pPr>
            <w:r>
              <w:rPr>
                <w:rFonts w:cs="Tahoma"/>
              </w:rPr>
              <w:t>4.3</w:t>
            </w:r>
          </w:p>
        </w:tc>
        <w:tc>
          <w:tcPr>
            <w:tcW w:w="1038" w:type="dxa"/>
          </w:tcPr>
          <w:p w:rsidR="004E503F" w:rsidRPr="00113F36" w:rsidRDefault="00D74658" w:rsidP="004E503F">
            <w:pPr>
              <w:pStyle w:val="Table"/>
              <w:keepNext/>
              <w:jc w:val="center"/>
              <w:rPr>
                <w:rFonts w:cs="Tahoma"/>
              </w:rPr>
            </w:pPr>
            <w:r>
              <w:rPr>
                <w:rFonts w:cs="Tahoma"/>
              </w:rPr>
              <w:t>4.5</w:t>
            </w:r>
          </w:p>
        </w:tc>
      </w:tr>
      <w:tr w:rsidR="004E503F" w:rsidTr="00D74658">
        <w:trPr>
          <w:trHeight w:val="20"/>
        </w:trPr>
        <w:tc>
          <w:tcPr>
            <w:tcW w:w="2173" w:type="dxa"/>
          </w:tcPr>
          <w:p w:rsidR="004E503F" w:rsidRDefault="004E503F" w:rsidP="004E503F">
            <w:pPr>
              <w:pStyle w:val="Table"/>
            </w:pPr>
            <w:r>
              <w:t>Brazil</w:t>
            </w:r>
          </w:p>
        </w:tc>
        <w:tc>
          <w:tcPr>
            <w:tcW w:w="1002" w:type="dxa"/>
          </w:tcPr>
          <w:p w:rsidR="004E503F" w:rsidRPr="004F5BD9" w:rsidRDefault="004E503F" w:rsidP="004E503F">
            <w:pPr>
              <w:pStyle w:val="Table"/>
              <w:keepNext/>
              <w:jc w:val="center"/>
              <w:rPr>
                <w:rFonts w:cs="Tahoma"/>
              </w:rPr>
            </w:pPr>
            <w:r>
              <w:rPr>
                <w:rFonts w:cs="Tahoma"/>
              </w:rPr>
              <w:t>3.7</w:t>
            </w:r>
          </w:p>
        </w:tc>
        <w:tc>
          <w:tcPr>
            <w:tcW w:w="1004" w:type="dxa"/>
          </w:tcPr>
          <w:p w:rsidR="004E503F" w:rsidRPr="00F408E1" w:rsidRDefault="004E503F" w:rsidP="004E503F">
            <w:pPr>
              <w:pStyle w:val="Table"/>
              <w:keepNext/>
              <w:jc w:val="center"/>
              <w:rPr>
                <w:rFonts w:cs="Tahoma"/>
              </w:rPr>
            </w:pPr>
            <w:r w:rsidRPr="00F408E1">
              <w:rPr>
                <w:rFonts w:cs="Tahoma"/>
              </w:rPr>
              <w:t>3.7</w:t>
            </w:r>
          </w:p>
        </w:tc>
        <w:tc>
          <w:tcPr>
            <w:tcW w:w="1006" w:type="dxa"/>
          </w:tcPr>
          <w:p w:rsidR="004E503F" w:rsidRPr="00D74658" w:rsidRDefault="00D74658" w:rsidP="004E503F">
            <w:pPr>
              <w:pStyle w:val="Table"/>
              <w:keepNext/>
              <w:jc w:val="center"/>
              <w:rPr>
                <w:rFonts w:cs="Tahoma"/>
              </w:rPr>
            </w:pPr>
            <w:r>
              <w:rPr>
                <w:rFonts w:cs="Tahoma"/>
              </w:rPr>
              <w:t>3.2</w:t>
            </w:r>
          </w:p>
        </w:tc>
        <w:tc>
          <w:tcPr>
            <w:tcW w:w="988" w:type="dxa"/>
          </w:tcPr>
          <w:p w:rsidR="004E503F" w:rsidRPr="00F408E1" w:rsidRDefault="00D74658" w:rsidP="004E503F">
            <w:pPr>
              <w:pStyle w:val="Table"/>
              <w:keepNext/>
              <w:jc w:val="center"/>
              <w:rPr>
                <w:rFonts w:cs="Tahoma"/>
              </w:rPr>
            </w:pPr>
            <w:r>
              <w:rPr>
                <w:rFonts w:cs="Tahoma"/>
              </w:rPr>
              <w:t>4.6</w:t>
            </w:r>
          </w:p>
        </w:tc>
        <w:tc>
          <w:tcPr>
            <w:tcW w:w="1038" w:type="dxa"/>
          </w:tcPr>
          <w:p w:rsidR="004E503F" w:rsidRPr="00F408E1" w:rsidRDefault="00D74658" w:rsidP="004E503F">
            <w:pPr>
              <w:pStyle w:val="Table"/>
              <w:keepNext/>
              <w:jc w:val="center"/>
              <w:rPr>
                <w:rFonts w:cs="Tahoma"/>
              </w:rPr>
            </w:pPr>
            <w:r>
              <w:rPr>
                <w:rFonts w:cs="Tahoma"/>
              </w:rPr>
              <w:t>4.0</w:t>
            </w:r>
          </w:p>
        </w:tc>
      </w:tr>
      <w:tr w:rsidR="004E503F" w:rsidTr="00D74658">
        <w:trPr>
          <w:trHeight w:val="20"/>
        </w:trPr>
        <w:tc>
          <w:tcPr>
            <w:tcW w:w="2173" w:type="dxa"/>
          </w:tcPr>
          <w:p w:rsidR="004E503F" w:rsidRDefault="004E503F" w:rsidP="004E503F">
            <w:pPr>
              <w:pStyle w:val="Table"/>
            </w:pPr>
            <w:r>
              <w:t>Angola</w:t>
            </w:r>
          </w:p>
        </w:tc>
        <w:tc>
          <w:tcPr>
            <w:tcW w:w="1002" w:type="dxa"/>
          </w:tcPr>
          <w:p w:rsidR="004E503F" w:rsidRPr="004F5BD9" w:rsidRDefault="004E503F" w:rsidP="004E503F">
            <w:pPr>
              <w:pStyle w:val="Table"/>
              <w:keepNext/>
              <w:jc w:val="center"/>
              <w:rPr>
                <w:rFonts w:cs="Tahoma"/>
              </w:rPr>
            </w:pPr>
            <w:r>
              <w:rPr>
                <w:rFonts w:cs="Tahoma"/>
              </w:rPr>
              <w:t>19.6</w:t>
            </w:r>
          </w:p>
        </w:tc>
        <w:tc>
          <w:tcPr>
            <w:tcW w:w="1004" w:type="dxa"/>
          </w:tcPr>
          <w:p w:rsidR="004E503F" w:rsidRPr="00F408E1" w:rsidRDefault="004E503F" w:rsidP="004E503F">
            <w:pPr>
              <w:pStyle w:val="Table"/>
              <w:keepNext/>
              <w:jc w:val="center"/>
              <w:rPr>
                <w:rFonts w:cs="Tahoma"/>
              </w:rPr>
            </w:pPr>
            <w:r w:rsidRPr="00F408E1">
              <w:rPr>
                <w:rFonts w:cs="Tahoma"/>
              </w:rPr>
              <w:t>17.1</w:t>
            </w:r>
          </w:p>
        </w:tc>
        <w:tc>
          <w:tcPr>
            <w:tcW w:w="1006" w:type="dxa"/>
          </w:tcPr>
          <w:p w:rsidR="004E503F" w:rsidRPr="00D74658" w:rsidRDefault="00D74658" w:rsidP="004E503F">
            <w:pPr>
              <w:pStyle w:val="Table"/>
              <w:keepNext/>
              <w:jc w:val="center"/>
              <w:rPr>
                <w:rFonts w:cs="Tahoma"/>
              </w:rPr>
            </w:pPr>
            <w:r>
              <w:rPr>
                <w:rFonts w:cs="Tahoma"/>
              </w:rPr>
              <w:t>22.3</w:t>
            </w:r>
          </w:p>
        </w:tc>
        <w:tc>
          <w:tcPr>
            <w:tcW w:w="988" w:type="dxa"/>
          </w:tcPr>
          <w:p w:rsidR="004E503F" w:rsidRPr="00F408E1" w:rsidRDefault="00D74658" w:rsidP="004E503F">
            <w:pPr>
              <w:pStyle w:val="Table"/>
              <w:keepNext/>
              <w:jc w:val="center"/>
              <w:rPr>
                <w:rFonts w:cs="Tahoma"/>
              </w:rPr>
            </w:pPr>
            <w:r>
              <w:rPr>
                <w:rFonts w:cs="Tahoma"/>
              </w:rPr>
              <w:t>22.3</w:t>
            </w:r>
          </w:p>
        </w:tc>
        <w:tc>
          <w:tcPr>
            <w:tcW w:w="1038" w:type="dxa"/>
          </w:tcPr>
          <w:p w:rsidR="004E503F" w:rsidRPr="00F408E1" w:rsidRDefault="00D74658" w:rsidP="004E503F">
            <w:pPr>
              <w:pStyle w:val="Table"/>
              <w:keepNext/>
              <w:jc w:val="center"/>
              <w:rPr>
                <w:rFonts w:cs="Tahoma"/>
              </w:rPr>
            </w:pPr>
            <w:r>
              <w:rPr>
                <w:rFonts w:cs="Tahoma"/>
              </w:rPr>
              <w:t>13.1</w:t>
            </w:r>
          </w:p>
        </w:tc>
      </w:tr>
    </w:tbl>
    <w:p w:rsidR="00A76322" w:rsidRDefault="00523456" w:rsidP="00A76322">
      <w:r>
        <w:t xml:space="preserve">Source: </w:t>
      </w:r>
      <w:r w:rsidR="00807734">
        <w:t>World Economic Outlook, April,</w:t>
      </w:r>
      <w:r w:rsidR="00944748">
        <w:t xml:space="preserve"> </w:t>
      </w:r>
      <w:r w:rsidR="00D74658">
        <w:t>2021</w:t>
      </w:r>
    </w:p>
    <w:p w:rsidR="00A76322" w:rsidRPr="005934E7" w:rsidRDefault="0020688C" w:rsidP="008122AD">
      <w:pPr>
        <w:pStyle w:val="NumberedPara"/>
        <w:tabs>
          <w:tab w:val="clear" w:pos="1287"/>
        </w:tabs>
        <w:ind w:left="540"/>
      </w:pPr>
      <w:r>
        <w:t>Turkey, Ghana and Angola</w:t>
      </w:r>
      <w:r w:rsidR="00A76322" w:rsidRPr="005934E7">
        <w:t xml:space="preserve"> experienced high infl</w:t>
      </w:r>
      <w:r w:rsidR="008C373A">
        <w:t>ation rates</w:t>
      </w:r>
      <w:r w:rsidR="008C373A">
        <w:rPr>
          <w:rStyle w:val="PageNumber"/>
        </w:rPr>
        <w:t xml:space="preserve">. </w:t>
      </w:r>
      <w:r w:rsidR="00A76322" w:rsidRPr="005934E7">
        <w:rPr>
          <w:rStyle w:val="PageNumber"/>
        </w:rPr>
        <w:t xml:space="preserve">Globally inflation rates are set to decrease over the next five years as mineral and agriculture prices stabilise. </w:t>
      </w:r>
    </w:p>
    <w:p w:rsidR="00A76322" w:rsidRDefault="00A76322" w:rsidP="008122AD">
      <w:pPr>
        <w:pStyle w:val="Heading3"/>
        <w:ind w:left="540"/>
      </w:pPr>
      <w:bookmarkStart w:id="38" w:name="_Toc79827010"/>
      <w:r w:rsidRPr="00112F8A">
        <w:t>Africa</w:t>
      </w:r>
      <w:r w:rsidR="00B94001">
        <w:rPr>
          <w:rStyle w:val="FootnoteReference"/>
        </w:rPr>
        <w:footnoteReference w:id="6"/>
      </w:r>
      <w:bookmarkEnd w:id="38"/>
    </w:p>
    <w:p w:rsidR="002D547F" w:rsidRPr="005934E7" w:rsidRDefault="002D547F" w:rsidP="00944748">
      <w:pPr>
        <w:pStyle w:val="NumberedPara"/>
        <w:tabs>
          <w:tab w:val="clear" w:pos="1287"/>
          <w:tab w:val="num" w:pos="540"/>
        </w:tabs>
        <w:ind w:left="540" w:hanging="540"/>
      </w:pPr>
      <w:r>
        <w:t xml:space="preserve">Africa suffered its worst recession in more than 50 years in 2020 due to the COVID–19 pandemic, as its GDP declined by 2.1 percent. But it is expected to increase by 3.4 percent in 2021. GDP per capita is estimated to have contracted by 10 percent in nominal terms in 2020. Because of the pandemic’s lower-than-expected impact on </w:t>
      </w:r>
      <w:r>
        <w:lastRenderedPageBreak/>
        <w:t>Africa,</w:t>
      </w:r>
      <w:r w:rsidR="008D6919">
        <w:t xml:space="preserve"> </w:t>
      </w:r>
      <w:r>
        <w:t xml:space="preserve">the recession in 2020 was not as severe as the Bank projected earlier. Africa suffered fewer economic losses from the pandemic than other regions of the world. Similarly, the fatality rates per million people have been relatively modest in relation to other regions. The global economy is expected to have shrunk 4.4 percent in 2020, less severe than the 4.9 percent contraction the International Monetary Fund (IMF) forecast at the onset of the crisis.2 The better-than-anticipated growth reflects the second- and third-quarter GDP performance in advanced and emerging-market economies, especially China, after lockdown measures were scaled back and prospects brightened for COVID–19 vaccines and therapeutics. The IMF now projects 5.2 percent global growth in 2021. Leading indicators point to a recovery of economic activity. Indicators of business confidence around the world, such as the industrial production indexes and the purchasing </w:t>
      </w:r>
      <w:r w:rsidR="00C50E4F">
        <w:t>managers’</w:t>
      </w:r>
      <w:r>
        <w:t xml:space="preserve"> indexes, especially for Africa’s major trading partners, have picked up in the third and fourth quarters of 2020. High frequency leading indicators such as major trading partners’ stock market indexes have rebounded from declines that exceeded 50 percent between March and May 2020. Commodity prices especially energy and metals recovered from the mid-2020 decline but remain subdued. The high volatility in global financial markets in the first half of 2020 stabilized towards the end of 2020. Increasingly accommodative monetary policy by major central banks around the world has helped stem the capital flight from Africa that occurred at the peak of the crisis. Since July 2020, capital flight has reversed in Africa, and sovereign bond spreads continue to narrow from the more than 700 basis points that prevailed in March and April 2020. Healthcare systems have improved in many countries, thanks to increased investments; digitalization has ramped up in the wake of the crisis; and social protection schemes have broadened their coverage to include previously neglected</w:t>
      </w:r>
      <w:r w:rsidR="000877E3">
        <w:t xml:space="preserve"> groups (for example, the reach of cash transfer programs expanded after the programs began to distribute funds through mobile money accounts in Benin, Côte d’Ivoire, The Gambia, Lesotho, Madagascar, and Namibia). But debt levels are expected to rise sharply, and if they are not addressed promptly, some countries might find themselves with a debt burden they</w:t>
      </w:r>
      <w:r w:rsidR="00D978EE">
        <w:t xml:space="preserve"> cannot serv</w:t>
      </w:r>
      <w:r w:rsidR="000877E3">
        <w:t>ice (a “debt overhang”), which might slow recovery in the me</w:t>
      </w:r>
      <w:r w:rsidR="00D978EE">
        <w:t>dium term</w:t>
      </w:r>
      <w:r w:rsidR="000877E3">
        <w:t>. Growth performance varies by regions and economic characteristics Africa’s growt</w:t>
      </w:r>
      <w:r w:rsidR="00D978EE">
        <w:t>h performance and recovery pros</w:t>
      </w:r>
      <w:r w:rsidR="000877E3">
        <w:t>pects vary across regions and economi</w:t>
      </w:r>
      <w:r w:rsidR="00D978EE">
        <w:t>c groupings</w:t>
      </w:r>
      <w:r w:rsidR="000877E3">
        <w:t xml:space="preserve">. The average GDP decline of 2.1 percent in 2020 and projected recovery to 3.4 </w:t>
      </w:r>
      <w:r w:rsidR="00D978EE">
        <w:t>percent growth in 2021 mask sig</w:t>
      </w:r>
      <w:r w:rsidR="000877E3">
        <w:t>nificant het</w:t>
      </w:r>
      <w:r w:rsidR="00D978EE">
        <w:t>erogeneity</w:t>
      </w:r>
      <w:r w:rsidR="000877E3">
        <w:t xml:space="preserve">. </w:t>
      </w:r>
      <w:r w:rsidR="000877E3" w:rsidRPr="004015B4">
        <w:rPr>
          <w:rFonts w:ascii="Arial Black" w:hAnsi="Arial Black"/>
        </w:rPr>
        <w:t>East Africa</w:t>
      </w:r>
      <w:r w:rsidR="000877E3">
        <w:t xml:space="preserve"> seems to be the most resilient region, thanks to less reliance on primary commodities and greater diver</w:t>
      </w:r>
      <w:r w:rsidR="004015B4">
        <w:t>sification.</w:t>
      </w:r>
      <w:r w:rsidR="00D978EE">
        <w:t xml:space="preserve"> It enjoyed 5.3 per</w:t>
      </w:r>
      <w:r w:rsidR="000877E3">
        <w:t>cent growth in 2019 and an estimated 0.7 percent growth in 2020. In 2021, growth of real GDP is projected at 3.</w:t>
      </w:r>
      <w:r w:rsidR="00D978EE">
        <w:t>0 percent, and in 2022, 5.6 per</w:t>
      </w:r>
      <w:r w:rsidR="000877E3">
        <w:t>cent. The top performers in</w:t>
      </w:r>
      <w:r w:rsidR="00D978EE">
        <w:t xml:space="preserve"> 2021 would be Dji</w:t>
      </w:r>
      <w:r w:rsidR="000877E3">
        <w:t xml:space="preserve">bouti (9.9 percent), Kenya (5.0 percent), Tanzania (4.1 percent), and Rwanda (3.9 percent) </w:t>
      </w:r>
      <w:r w:rsidR="000877E3" w:rsidRPr="004015B4">
        <w:rPr>
          <w:rFonts w:ascii="Arial Black" w:hAnsi="Arial Black"/>
        </w:rPr>
        <w:t>Southern Africa</w:t>
      </w:r>
      <w:r w:rsidR="000877E3">
        <w:t xml:space="preserve"> is the region that was hardest hit by the pan</w:t>
      </w:r>
      <w:r w:rsidR="00995A7A">
        <w:t>demic, with an economic contrac</w:t>
      </w:r>
      <w:r w:rsidR="000877E3">
        <w:t xml:space="preserve">tion of 7.0 percent in 2020. It is projected to grow by 3.2 percent in 2021 and 2.4 percent in 2022. GDP in </w:t>
      </w:r>
      <w:r w:rsidR="000877E3" w:rsidRPr="004015B4">
        <w:rPr>
          <w:rFonts w:ascii="Arial Black" w:hAnsi="Arial Black"/>
        </w:rPr>
        <w:t xml:space="preserve">West </w:t>
      </w:r>
      <w:r w:rsidR="00995A7A" w:rsidRPr="004015B4">
        <w:rPr>
          <w:rFonts w:ascii="Arial Black" w:hAnsi="Arial Black"/>
        </w:rPr>
        <w:t>Africa</w:t>
      </w:r>
      <w:r w:rsidR="00995A7A">
        <w:t xml:space="preserve"> is estimated to have con</w:t>
      </w:r>
      <w:r w:rsidR="000877E3">
        <w:t>tracted by 1.5 percent in 2020, better than the initial projection of a 4.3 percent decline in June 2020, partly due to the relatively limited spread of the virus in the region. Many West African countries maintained positive growth in 2020 thanks to more targeted</w:t>
      </w:r>
      <w:r w:rsidR="00995A7A">
        <w:t xml:space="preserve"> and less restrictive lockdowns </w:t>
      </w:r>
      <w:r w:rsidR="000877E3">
        <w:t xml:space="preserve">including Benin (2.3 percent), Côte d’Ivoire (1.8 percent), and Niger (1.2 percent). Other countries such as Cabo Verde (–8.9 percent), Liberia (–3.1 percent), and Nigeria (–3 percent) were in recession in 2020. Growth in the region is projected at 2.8 percent in 2021 and 3.9 percent in 2022, as lockdowns are eased and commodity prices rebound. In </w:t>
      </w:r>
      <w:r w:rsidR="000877E3" w:rsidRPr="004015B4">
        <w:rPr>
          <w:rFonts w:ascii="Arial Black" w:hAnsi="Arial Black"/>
        </w:rPr>
        <w:t>Central Africa</w:t>
      </w:r>
      <w:r w:rsidR="000877E3">
        <w:t>, real GDP is estimated to have contracted 2.7</w:t>
      </w:r>
      <w:r w:rsidR="00995A7A">
        <w:t xml:space="preserve"> percent in 2020. Countries sig</w:t>
      </w:r>
      <w:r w:rsidR="000877E3">
        <w:t>nificantly impacted by the crisis in the sub</w:t>
      </w:r>
      <w:r w:rsidR="00995A7A">
        <w:t>-</w:t>
      </w:r>
      <w:r w:rsidR="000877E3">
        <w:t xml:space="preserve">region include Cameroon (–2.4 percent), Republic </w:t>
      </w:r>
      <w:r w:rsidR="000877E3">
        <w:lastRenderedPageBreak/>
        <w:t xml:space="preserve">of Congo (–7.9 percent), Democratic Republic of Congo (–1.7 percent), and Equatorial Guinea (–6.1 percent). Growth is projected to recover to 3.2 percent in 2021 and 4 percent in 2022 in Central Africa. The economies of </w:t>
      </w:r>
      <w:r w:rsidR="000877E3" w:rsidRPr="004015B4">
        <w:rPr>
          <w:rFonts w:ascii="Arial Black" w:hAnsi="Arial Black"/>
        </w:rPr>
        <w:t>North Africa</w:t>
      </w:r>
      <w:r w:rsidR="000877E3">
        <w:t xml:space="preserve"> contracted by an estimated 1.1 percent in 2020, propped up mainly by Egypt, which maintained 3.6 percent growth despite the relatively severe health impact of the virus in the country.</w:t>
      </w:r>
      <w:r w:rsidR="00995A7A">
        <w:t xml:space="preserve"> Other countries contracted sig</w:t>
      </w:r>
      <w:r w:rsidR="000877E3">
        <w:t xml:space="preserve">nificantly in 2020, including Tunisia (–8.8 percent), Morocco (–5.9 percent), and Algeria (–4.7 percent). The effects of COVID–19, internal conflict, and a drop in oil prices caused an estimated 60.3 </w:t>
      </w:r>
      <w:r w:rsidR="00D978EE">
        <w:t>percent contraction of real GDP in Libya. North Africa is projected to experience robust recovery of 4 percent in 2021 and 6 percent in 2022. Similarly, Africa’s growth performance varies across country groups depending on structural characteristics</w:t>
      </w:r>
    </w:p>
    <w:p w:rsidR="00267DBD" w:rsidRDefault="00A76322" w:rsidP="00333478">
      <w:pPr>
        <w:pStyle w:val="Heading3"/>
      </w:pPr>
      <w:bookmarkStart w:id="39" w:name="_Toc79827011"/>
      <w:r>
        <w:t>Nigerian Economy</w:t>
      </w:r>
      <w:r>
        <w:rPr>
          <w:rStyle w:val="FootnoteReference"/>
        </w:rPr>
        <w:footnoteReference w:id="7"/>
      </w:r>
      <w:bookmarkEnd w:id="39"/>
    </w:p>
    <w:p w:rsidR="00710C59" w:rsidRPr="0080702F" w:rsidRDefault="00710C59" w:rsidP="0080702F">
      <w:pPr>
        <w:pStyle w:val="NumberedPara"/>
        <w:tabs>
          <w:tab w:val="clear" w:pos="1287"/>
          <w:tab w:val="num" w:pos="450"/>
        </w:tabs>
        <w:ind w:left="450" w:hanging="450"/>
        <w:rPr>
          <w:color w:val="000000"/>
        </w:rPr>
      </w:pPr>
      <w:r w:rsidRPr="0080702F">
        <w:rPr>
          <w:color w:val="000000"/>
        </w:rPr>
        <w:t>Nigeria’s economy entered a recession in 2020, reversing three years of recovery, due to fall in crude oil prices on account of falling global demand and containment measures to fight the spread of COVID–19. The containment measures mainly affected aviation, tourism, hospitality, restaurants, manufacturing, and trade. Contraction in these sectors offset demand-driven expansion in financial and information and communications technology sectors. Overall real GDP is estimated by the Bank to have shrunk by 3% in 2020, although mitigating measures in the Economic Sustainability Programme (ESP) prevented the decline from being much worse. Inflation rose to 12.8% in 2020 from 11.4% in 2019, fueled by higher food prices due to constraints on domestic supplies and the pass-through effects of an exchange rate premium that widened to about 24%. The removal of fuel subsidies and an increase in electricity tariffs added further to inflationary pressures. The Central Bank of Nigeria cut the policy rate by 100 basis points to 11.5% to shore up a flagging economy. The fiscal deficit, financed mostly by domestic and foreign borrowing, widened to 5.2% in 2020 from 4.3% in 2019, reflecting pandemic-related spending pressures and revenue shortfalls. Total public debt stood at $85.9 billion (25% of GDP) on 30 June 2020, 2.4% higher than a year earlier. Domestic debt represented 63% of total debt, and external debt, 37%. High debt service payments, estimated at more than half of federally collected revenues, pose a major fiscal risk to Nigeria. The current account position was expected to remain in deficit at 3.7% of GDP, weighed down by the fall in oil receipts and weak external financial flows.</w:t>
      </w:r>
    </w:p>
    <w:p w:rsidR="00710C59" w:rsidRPr="0080702F" w:rsidRDefault="00710C59" w:rsidP="0080702F">
      <w:pPr>
        <w:pStyle w:val="NumberedPara"/>
        <w:tabs>
          <w:tab w:val="clear" w:pos="1287"/>
          <w:tab w:val="num" w:pos="450"/>
        </w:tabs>
        <w:ind w:left="450" w:hanging="450"/>
        <w:rPr>
          <w:color w:val="000000"/>
        </w:rPr>
      </w:pPr>
      <w:r w:rsidRPr="0080702F">
        <w:rPr>
          <w:color w:val="000000"/>
        </w:rPr>
        <w:t>The economy is projected to grow by 1.5% in 2021 and 2.9% in 2022, based on an expected recovery in crude oil prices and production. Stimulus measures outlined in the ESP and the Finance Act of 2020 could boost nonoil revenues. Improved revenues can narrow the fiscal deficit to 4.6% and the current account deficit to 2.3% of GDP in 2021 as global economic conditions improve. Reopening borders will increase access to inputs, easing pressure on domestic prices and inflation, projected at 11.4% in 2021. Downside risks include reduced fiscal space, should oil prices remain depressed. In addition, flooding and rising insecurity could hamper agricultural production. Further depletion in foreign reserves from $35 billion (7.6 months of import cover) could lead to sharp exchange rate depreciation and inflationary pressures. A potential relapse in COVID–19 cases could exacerbate these risks. High unemployment (27%), poverty (40%) and growing inequality remain a major challenge in Nigeria.</w:t>
      </w:r>
    </w:p>
    <w:p w:rsidR="00710C59" w:rsidRPr="003F3B59" w:rsidRDefault="00710C59" w:rsidP="0080702F">
      <w:pPr>
        <w:pStyle w:val="NumberedPara"/>
        <w:tabs>
          <w:tab w:val="clear" w:pos="1287"/>
          <w:tab w:val="num" w:pos="450"/>
        </w:tabs>
        <w:ind w:left="450" w:hanging="450"/>
      </w:pPr>
      <w:r w:rsidRPr="0080702F">
        <w:rPr>
          <w:color w:val="000000"/>
        </w:rPr>
        <w:lastRenderedPageBreak/>
        <w:t xml:space="preserve">Nigeria’s public debt is relatively sustainable at 25% of GDP. But debt service payments are high, and the country’s ability to attract external private financial flows is hurt by macroeconomic imbalances and policy uncertainty. During the first half of 2020, Nigeria received $7.1 billion in foreign investment. This was half the amount it received in the corresponding period of 2019. Nigeria’s financing requirements require improved domestic revenue collection. Currently, nonoil revenue collections are equivalent to 4% of GDP. The revenue yield in 2020 from an increase in the value-added tax rate to 7.5% from 5% was less than projected because of subdued economic activity. Broadening the tax base could strengthen Nigeria’s fiscal buffers, if structural reforms to enhance compliance are supported and illicit financial flows are tackled. Remittances and sharia-compliant sukuk bonds also offer potential financing options. In 2019, remittances </w:t>
      </w:r>
      <w:r w:rsidR="00C50E4F" w:rsidRPr="0080702F">
        <w:rPr>
          <w:color w:val="000000"/>
        </w:rPr>
        <w:t>totalled</w:t>
      </w:r>
      <w:r w:rsidRPr="0080702F">
        <w:rPr>
          <w:color w:val="000000"/>
        </w:rPr>
        <w:t xml:space="preserve"> $23.8 billion (5.3% of GDP), but the effect of the COVID– 19 pandemic in key source markets could reduce this figure. The third issuance of sukuk bonds of 150 billion naira ($395 million) in June 2020 attracted 669.1 billion naira, of which 162.5 billion naira was allotted to finance 44 critical road projects. Use of foreign reserves as a financing option in the medium term is impaired by lower oil receipts, the main source of foreign exchange.</w:t>
      </w:r>
    </w:p>
    <w:p w:rsidR="00A76322" w:rsidRPr="00FA793A" w:rsidRDefault="00A76322" w:rsidP="001D6B67">
      <w:pPr>
        <w:pStyle w:val="Heading4"/>
        <w:jc w:val="center"/>
        <w:rPr>
          <w:lang w:val="en-US"/>
        </w:rPr>
      </w:pPr>
      <w:bookmarkStart w:id="40" w:name="_Toc139790572"/>
      <w:r>
        <w:t>Macroeconomic</w:t>
      </w:r>
      <w:r w:rsidR="00FA793A">
        <w:rPr>
          <w:lang w:val="en-US"/>
        </w:rPr>
        <w:t xml:space="preserve"> Indicators</w:t>
      </w:r>
    </w:p>
    <w:p w:rsidR="00A76322" w:rsidRDefault="00A76322" w:rsidP="00A76322">
      <w:pPr>
        <w:pStyle w:val="StyleCaptionCentered"/>
      </w:pPr>
      <w:bookmarkStart w:id="41" w:name="_Toc349823804"/>
      <w:bookmarkStart w:id="42" w:name="_Toc79827148"/>
      <w:bookmarkStart w:id="43" w:name="_Toc139790584"/>
      <w:bookmarkEnd w:id="40"/>
      <w:r>
        <w:t xml:space="preserve">Table </w:t>
      </w:r>
      <w:r w:rsidR="00DF033A">
        <w:fldChar w:fldCharType="begin"/>
      </w:r>
      <w:r>
        <w:instrText xml:space="preserve"> SEQ Table \* ARABIC </w:instrText>
      </w:r>
      <w:r w:rsidR="00DF033A">
        <w:fldChar w:fldCharType="separate"/>
      </w:r>
      <w:r w:rsidR="007A24D6">
        <w:rPr>
          <w:noProof/>
        </w:rPr>
        <w:t>4</w:t>
      </w:r>
      <w:r w:rsidR="00DF033A">
        <w:fldChar w:fldCharType="end"/>
      </w:r>
      <w:r>
        <w:t xml:space="preserve">: </w:t>
      </w:r>
      <w:bookmarkStart w:id="44" w:name="_Toc349647916"/>
      <w:r>
        <w:t>Nigeria Key Macroeconomic Indicators</w:t>
      </w:r>
      <w:bookmarkEnd w:id="41"/>
      <w:bookmarkEnd w:id="42"/>
      <w:bookmarkEnd w:id="44"/>
    </w:p>
    <w:tbl>
      <w:tblPr>
        <w:tblW w:w="82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1215"/>
        <w:gridCol w:w="1215"/>
        <w:gridCol w:w="1215"/>
        <w:gridCol w:w="1215"/>
      </w:tblGrid>
      <w:tr w:rsidR="00D33A7B" w:rsidRPr="00D434BB" w:rsidTr="00EA69BC">
        <w:tc>
          <w:tcPr>
            <w:tcW w:w="3420" w:type="dxa"/>
            <w:shd w:val="clear" w:color="auto" w:fill="758453"/>
          </w:tcPr>
          <w:p w:rsidR="00D33A7B" w:rsidRPr="00D434BB" w:rsidRDefault="00D33A7B" w:rsidP="00D33A7B">
            <w:pPr>
              <w:pStyle w:val="Table"/>
              <w:keepNext/>
              <w:rPr>
                <w:b/>
                <w:color w:val="FFFFFF"/>
              </w:rPr>
            </w:pPr>
            <w:r w:rsidRPr="00D434BB">
              <w:rPr>
                <w:b/>
                <w:color w:val="FFFFFF"/>
              </w:rPr>
              <w:t>Indicator</w:t>
            </w:r>
          </w:p>
        </w:tc>
        <w:tc>
          <w:tcPr>
            <w:tcW w:w="1215" w:type="dxa"/>
            <w:shd w:val="clear" w:color="auto" w:fill="758453"/>
          </w:tcPr>
          <w:p w:rsidR="00D33A7B" w:rsidRPr="00D434BB" w:rsidRDefault="00D33A7B" w:rsidP="00D33A7B">
            <w:pPr>
              <w:pStyle w:val="Table"/>
              <w:keepNext/>
              <w:jc w:val="center"/>
              <w:rPr>
                <w:b/>
                <w:color w:val="FFFFFF"/>
              </w:rPr>
            </w:pPr>
            <w:r>
              <w:rPr>
                <w:b/>
                <w:color w:val="FFFFFF"/>
              </w:rPr>
              <w:t>2017</w:t>
            </w:r>
          </w:p>
        </w:tc>
        <w:tc>
          <w:tcPr>
            <w:tcW w:w="1215" w:type="dxa"/>
            <w:shd w:val="clear" w:color="auto" w:fill="758453"/>
          </w:tcPr>
          <w:p w:rsidR="00D33A7B" w:rsidRPr="00D434BB" w:rsidRDefault="00D33A7B" w:rsidP="00D33A7B">
            <w:pPr>
              <w:pStyle w:val="Table"/>
              <w:keepNext/>
              <w:jc w:val="center"/>
              <w:rPr>
                <w:b/>
                <w:color w:val="FFFFFF"/>
              </w:rPr>
            </w:pPr>
            <w:r>
              <w:rPr>
                <w:b/>
                <w:color w:val="FFFFFF"/>
              </w:rPr>
              <w:t>2018</w:t>
            </w:r>
          </w:p>
        </w:tc>
        <w:tc>
          <w:tcPr>
            <w:tcW w:w="1215" w:type="dxa"/>
            <w:shd w:val="clear" w:color="auto" w:fill="758453"/>
          </w:tcPr>
          <w:p w:rsidR="00D33A7B" w:rsidRPr="00D434BB" w:rsidRDefault="00D33A7B" w:rsidP="00D33A7B">
            <w:pPr>
              <w:pStyle w:val="Table"/>
              <w:keepNext/>
              <w:jc w:val="center"/>
              <w:rPr>
                <w:b/>
                <w:color w:val="FFFFFF"/>
              </w:rPr>
            </w:pPr>
            <w:r>
              <w:rPr>
                <w:b/>
                <w:color w:val="FFFFFF"/>
              </w:rPr>
              <w:t>2019</w:t>
            </w:r>
          </w:p>
        </w:tc>
        <w:tc>
          <w:tcPr>
            <w:tcW w:w="1215" w:type="dxa"/>
            <w:shd w:val="clear" w:color="auto" w:fill="758453"/>
          </w:tcPr>
          <w:p w:rsidR="00D33A7B" w:rsidRPr="00D434BB" w:rsidRDefault="009028BF" w:rsidP="00D33A7B">
            <w:pPr>
              <w:pStyle w:val="Table"/>
              <w:keepNext/>
              <w:jc w:val="center"/>
              <w:rPr>
                <w:b/>
                <w:color w:val="FFFFFF"/>
              </w:rPr>
            </w:pPr>
            <w:r>
              <w:rPr>
                <w:b/>
                <w:color w:val="FFFFFF"/>
              </w:rPr>
              <w:t>2020</w:t>
            </w:r>
          </w:p>
        </w:tc>
      </w:tr>
      <w:tr w:rsidR="009028BF" w:rsidTr="00EA69BC">
        <w:tc>
          <w:tcPr>
            <w:tcW w:w="3420" w:type="dxa"/>
          </w:tcPr>
          <w:p w:rsidR="009028BF" w:rsidRDefault="009028BF" w:rsidP="009028BF">
            <w:pPr>
              <w:pStyle w:val="Table"/>
              <w:keepNext/>
            </w:pPr>
            <w:r>
              <w:t>GDP Growth (%)</w:t>
            </w:r>
          </w:p>
        </w:tc>
        <w:tc>
          <w:tcPr>
            <w:tcW w:w="1215" w:type="dxa"/>
          </w:tcPr>
          <w:p w:rsidR="009028BF" w:rsidRPr="00665989" w:rsidRDefault="009028BF" w:rsidP="009028BF">
            <w:pPr>
              <w:pStyle w:val="NoSpacing"/>
              <w:keepNext/>
              <w:jc w:val="right"/>
              <w:rPr>
                <w:rFonts w:ascii="Tahoma" w:eastAsia="Times New Roman" w:hAnsi="Tahoma" w:cs="Tahoma"/>
                <w:bCs/>
                <w:sz w:val="20"/>
                <w:szCs w:val="20"/>
                <w:lang w:eastAsia="ig-NG"/>
              </w:rPr>
            </w:pPr>
            <w:r>
              <w:rPr>
                <w:rFonts w:ascii="Tahoma" w:eastAsia="Times New Roman" w:hAnsi="Tahoma" w:cs="Tahoma"/>
                <w:bCs/>
                <w:sz w:val="20"/>
                <w:szCs w:val="20"/>
                <w:lang w:eastAsia="ig-NG"/>
              </w:rPr>
              <w:t>0.8</w:t>
            </w:r>
          </w:p>
        </w:tc>
        <w:tc>
          <w:tcPr>
            <w:tcW w:w="1215" w:type="dxa"/>
          </w:tcPr>
          <w:p w:rsidR="009028BF" w:rsidRPr="00665989" w:rsidRDefault="009028BF" w:rsidP="009028BF">
            <w:pPr>
              <w:pStyle w:val="NoSpacing"/>
              <w:keepNext/>
              <w:jc w:val="right"/>
              <w:rPr>
                <w:rFonts w:ascii="Tahoma" w:eastAsia="Times New Roman" w:hAnsi="Tahoma" w:cs="Tahoma"/>
                <w:bCs/>
                <w:sz w:val="20"/>
                <w:szCs w:val="20"/>
                <w:lang w:eastAsia="ig-NG"/>
              </w:rPr>
            </w:pPr>
            <w:r>
              <w:rPr>
                <w:rFonts w:ascii="Tahoma" w:eastAsia="Times New Roman" w:hAnsi="Tahoma" w:cs="Tahoma"/>
                <w:bCs/>
                <w:sz w:val="20"/>
                <w:szCs w:val="20"/>
                <w:lang w:eastAsia="ig-NG"/>
              </w:rPr>
              <w:t>1.9</w:t>
            </w:r>
          </w:p>
        </w:tc>
        <w:tc>
          <w:tcPr>
            <w:tcW w:w="1215" w:type="dxa"/>
          </w:tcPr>
          <w:p w:rsidR="009028BF" w:rsidRPr="00665989" w:rsidRDefault="009028BF" w:rsidP="009028BF">
            <w:pPr>
              <w:pStyle w:val="NoSpacing"/>
              <w:keepNext/>
              <w:jc w:val="right"/>
              <w:rPr>
                <w:rFonts w:ascii="Tahoma" w:eastAsia="Times New Roman" w:hAnsi="Tahoma" w:cs="Tahoma"/>
                <w:bCs/>
                <w:sz w:val="20"/>
                <w:szCs w:val="20"/>
                <w:lang w:eastAsia="ig-NG"/>
              </w:rPr>
            </w:pPr>
            <w:r>
              <w:rPr>
                <w:rFonts w:ascii="Tahoma" w:eastAsia="Times New Roman" w:hAnsi="Tahoma" w:cs="Tahoma"/>
                <w:bCs/>
                <w:sz w:val="20"/>
                <w:szCs w:val="20"/>
                <w:lang w:eastAsia="ig-NG"/>
              </w:rPr>
              <w:t>2.2</w:t>
            </w:r>
          </w:p>
        </w:tc>
        <w:tc>
          <w:tcPr>
            <w:tcW w:w="1215" w:type="dxa"/>
          </w:tcPr>
          <w:p w:rsidR="009028BF" w:rsidRPr="006B375E" w:rsidRDefault="00D97515" w:rsidP="006B375E">
            <w:pPr>
              <w:pStyle w:val="NoSpacing"/>
              <w:keepNext/>
              <w:jc w:val="right"/>
              <w:rPr>
                <w:rFonts w:ascii="Tahoma" w:eastAsia="Times New Roman" w:hAnsi="Tahoma" w:cs="Tahoma"/>
                <w:bCs/>
                <w:sz w:val="20"/>
                <w:szCs w:val="20"/>
                <w:lang w:eastAsia="ig-NG"/>
              </w:rPr>
            </w:pPr>
            <w:r>
              <w:rPr>
                <w:rFonts w:ascii="Tahoma" w:eastAsia="Times New Roman" w:hAnsi="Tahoma" w:cs="Tahoma"/>
                <w:bCs/>
                <w:sz w:val="20"/>
                <w:szCs w:val="20"/>
                <w:lang w:eastAsia="ig-NG"/>
              </w:rPr>
              <w:t>-2</w:t>
            </w:r>
            <w:r w:rsidR="009028BF" w:rsidRPr="006B375E">
              <w:rPr>
                <w:rFonts w:ascii="Tahoma" w:eastAsia="Times New Roman" w:hAnsi="Tahoma" w:cs="Tahoma"/>
                <w:bCs/>
                <w:sz w:val="20"/>
                <w:szCs w:val="20"/>
                <w:lang w:eastAsia="ig-NG"/>
              </w:rPr>
              <w:t>.</w:t>
            </w:r>
            <w:r>
              <w:rPr>
                <w:rFonts w:ascii="Tahoma" w:eastAsia="Times New Roman" w:hAnsi="Tahoma" w:cs="Tahoma"/>
                <w:bCs/>
                <w:sz w:val="20"/>
                <w:szCs w:val="20"/>
                <w:lang w:eastAsia="ig-NG"/>
              </w:rPr>
              <w:t>4</w:t>
            </w:r>
            <w:r w:rsidR="009028BF" w:rsidRPr="006B375E">
              <w:rPr>
                <w:rFonts w:ascii="Tahoma" w:eastAsia="Times New Roman" w:hAnsi="Tahoma" w:cs="Tahoma"/>
                <w:bCs/>
                <w:sz w:val="20"/>
                <w:szCs w:val="20"/>
                <w:lang w:eastAsia="ig-NG"/>
              </w:rPr>
              <w:t>8</w:t>
            </w:r>
          </w:p>
        </w:tc>
      </w:tr>
      <w:tr w:rsidR="009028BF" w:rsidTr="000E55F7">
        <w:tc>
          <w:tcPr>
            <w:tcW w:w="3420" w:type="dxa"/>
          </w:tcPr>
          <w:p w:rsidR="009028BF" w:rsidRDefault="009028BF" w:rsidP="009028BF">
            <w:pPr>
              <w:pStyle w:val="Table"/>
              <w:keepNext/>
            </w:pPr>
            <w:r>
              <w:t>GDP (N’bn)</w:t>
            </w:r>
          </w:p>
        </w:tc>
        <w:tc>
          <w:tcPr>
            <w:tcW w:w="1215" w:type="dxa"/>
            <w:vAlign w:val="center"/>
          </w:tcPr>
          <w:p w:rsidR="009028BF" w:rsidRPr="009F5B2B" w:rsidRDefault="009028BF" w:rsidP="009028BF">
            <w:pPr>
              <w:spacing w:before="0" w:after="0"/>
              <w:jc w:val="right"/>
              <w:rPr>
                <w:rFonts w:ascii="Calibri" w:hAnsi="Calibri" w:cs="Calibri"/>
                <w:color w:val="000000"/>
                <w:szCs w:val="22"/>
                <w:lang w:val="en-US" w:eastAsia="en-US"/>
              </w:rPr>
            </w:pPr>
            <w:r>
              <w:rPr>
                <w:rFonts w:ascii="Calibri" w:hAnsi="Calibri" w:cs="Calibri"/>
                <w:color w:val="000000"/>
                <w:szCs w:val="22"/>
              </w:rPr>
              <w:t>68,490.98</w:t>
            </w:r>
          </w:p>
        </w:tc>
        <w:tc>
          <w:tcPr>
            <w:tcW w:w="1215" w:type="dxa"/>
            <w:vAlign w:val="center"/>
          </w:tcPr>
          <w:p w:rsidR="009028BF" w:rsidRPr="009F5B2B" w:rsidRDefault="009028BF" w:rsidP="009028BF">
            <w:pPr>
              <w:spacing w:before="0" w:after="0"/>
              <w:jc w:val="right"/>
              <w:rPr>
                <w:rFonts w:ascii="Calibri" w:hAnsi="Calibri" w:cs="Calibri"/>
                <w:color w:val="000000"/>
                <w:szCs w:val="22"/>
                <w:lang w:val="en-US" w:eastAsia="en-US"/>
              </w:rPr>
            </w:pPr>
            <w:r>
              <w:rPr>
                <w:rFonts w:ascii="Calibri" w:hAnsi="Calibri" w:cs="Calibri"/>
                <w:color w:val="000000"/>
                <w:szCs w:val="22"/>
              </w:rPr>
              <w:t>69,799.94</w:t>
            </w:r>
          </w:p>
        </w:tc>
        <w:tc>
          <w:tcPr>
            <w:tcW w:w="1215" w:type="dxa"/>
            <w:vAlign w:val="center"/>
          </w:tcPr>
          <w:p w:rsidR="009028BF" w:rsidRPr="009F5B2B" w:rsidRDefault="009028BF" w:rsidP="009028BF">
            <w:pPr>
              <w:spacing w:before="0" w:after="0"/>
              <w:jc w:val="right"/>
              <w:rPr>
                <w:rFonts w:ascii="Calibri" w:hAnsi="Calibri" w:cs="Calibri"/>
                <w:color w:val="000000"/>
                <w:szCs w:val="22"/>
                <w:lang w:val="en-US" w:eastAsia="en-US"/>
              </w:rPr>
            </w:pPr>
            <w:r>
              <w:t>144,210.5</w:t>
            </w:r>
          </w:p>
        </w:tc>
        <w:tc>
          <w:tcPr>
            <w:tcW w:w="1215" w:type="dxa"/>
          </w:tcPr>
          <w:p w:rsidR="009028BF" w:rsidRPr="007543E5" w:rsidRDefault="006F3A6A" w:rsidP="009028BF">
            <w:pPr>
              <w:pStyle w:val="Table"/>
              <w:keepNext/>
              <w:jc w:val="right"/>
              <w:rPr>
                <w:rFonts w:cs="Tahoma"/>
                <w:szCs w:val="20"/>
              </w:rPr>
            </w:pPr>
            <w:r w:rsidRPr="006F3A6A">
              <w:t>142,960.5</w:t>
            </w:r>
          </w:p>
        </w:tc>
      </w:tr>
      <w:tr w:rsidR="009028BF" w:rsidTr="000E55F7">
        <w:tc>
          <w:tcPr>
            <w:tcW w:w="3420" w:type="dxa"/>
          </w:tcPr>
          <w:p w:rsidR="009028BF" w:rsidRDefault="009028BF" w:rsidP="009028BF">
            <w:pPr>
              <w:pStyle w:val="Table"/>
              <w:keepNext/>
            </w:pPr>
            <w:r>
              <w:t>Inflation (%)</w:t>
            </w:r>
          </w:p>
        </w:tc>
        <w:tc>
          <w:tcPr>
            <w:tcW w:w="1215" w:type="dxa"/>
            <w:vAlign w:val="center"/>
          </w:tcPr>
          <w:p w:rsidR="009028BF" w:rsidRPr="00665989" w:rsidRDefault="009028BF" w:rsidP="009028BF">
            <w:pPr>
              <w:pStyle w:val="NoSpacing"/>
              <w:keepNext/>
              <w:jc w:val="right"/>
              <w:rPr>
                <w:rFonts w:ascii="Tahoma" w:eastAsia="Times New Roman" w:hAnsi="Tahoma" w:cs="Tahoma"/>
                <w:bCs/>
                <w:sz w:val="20"/>
                <w:szCs w:val="20"/>
                <w:lang w:eastAsia="ig-NG"/>
              </w:rPr>
            </w:pPr>
            <w:r>
              <w:rPr>
                <w:rFonts w:ascii="Tahoma" w:eastAsia="Times New Roman" w:hAnsi="Tahoma" w:cs="Tahoma"/>
                <w:bCs/>
                <w:sz w:val="20"/>
                <w:szCs w:val="20"/>
                <w:lang w:eastAsia="ig-NG"/>
              </w:rPr>
              <w:t>16.5</w:t>
            </w:r>
          </w:p>
        </w:tc>
        <w:tc>
          <w:tcPr>
            <w:tcW w:w="1215" w:type="dxa"/>
            <w:vAlign w:val="center"/>
          </w:tcPr>
          <w:p w:rsidR="009028BF" w:rsidRPr="00665989" w:rsidRDefault="009028BF" w:rsidP="009028BF">
            <w:pPr>
              <w:pStyle w:val="NoSpacing"/>
              <w:keepNext/>
              <w:jc w:val="right"/>
              <w:rPr>
                <w:rFonts w:ascii="Tahoma" w:eastAsia="Times New Roman" w:hAnsi="Tahoma" w:cs="Tahoma"/>
                <w:bCs/>
                <w:sz w:val="20"/>
                <w:szCs w:val="20"/>
                <w:lang w:eastAsia="ig-NG"/>
              </w:rPr>
            </w:pPr>
            <w:r>
              <w:rPr>
                <w:rFonts w:ascii="Tahoma" w:eastAsia="Times New Roman" w:hAnsi="Tahoma" w:cs="Tahoma"/>
                <w:bCs/>
                <w:sz w:val="20"/>
                <w:szCs w:val="20"/>
                <w:lang w:eastAsia="ig-NG"/>
              </w:rPr>
              <w:t>11.08</w:t>
            </w:r>
          </w:p>
        </w:tc>
        <w:tc>
          <w:tcPr>
            <w:tcW w:w="1215" w:type="dxa"/>
            <w:vAlign w:val="center"/>
          </w:tcPr>
          <w:p w:rsidR="009028BF" w:rsidRPr="00665989" w:rsidRDefault="009028BF" w:rsidP="009028BF">
            <w:pPr>
              <w:pStyle w:val="NoSpacing"/>
              <w:keepNext/>
              <w:jc w:val="right"/>
              <w:rPr>
                <w:rFonts w:ascii="Tahoma" w:eastAsia="Times New Roman" w:hAnsi="Tahoma" w:cs="Tahoma"/>
                <w:bCs/>
                <w:sz w:val="20"/>
                <w:szCs w:val="20"/>
                <w:lang w:eastAsia="ig-NG"/>
              </w:rPr>
            </w:pPr>
            <w:r>
              <w:rPr>
                <w:rFonts w:ascii="Tahoma" w:eastAsia="Times New Roman" w:hAnsi="Tahoma" w:cs="Tahoma"/>
                <w:bCs/>
                <w:sz w:val="20"/>
                <w:szCs w:val="20"/>
                <w:lang w:eastAsia="ig-NG"/>
              </w:rPr>
              <w:t>11,98</w:t>
            </w:r>
          </w:p>
        </w:tc>
        <w:tc>
          <w:tcPr>
            <w:tcW w:w="1215" w:type="dxa"/>
          </w:tcPr>
          <w:p w:rsidR="009028BF" w:rsidRPr="007543E5" w:rsidRDefault="009028BF" w:rsidP="009028BF">
            <w:pPr>
              <w:pStyle w:val="Table"/>
              <w:keepNext/>
              <w:jc w:val="right"/>
              <w:rPr>
                <w:rFonts w:cs="Tahoma"/>
                <w:szCs w:val="20"/>
              </w:rPr>
            </w:pPr>
            <w:r>
              <w:rPr>
                <w:rFonts w:cs="Tahoma"/>
                <w:szCs w:val="20"/>
              </w:rPr>
              <w:t>1</w:t>
            </w:r>
            <w:r w:rsidR="00780F4C">
              <w:rPr>
                <w:rFonts w:cs="Tahoma"/>
                <w:szCs w:val="20"/>
              </w:rPr>
              <w:t>4</w:t>
            </w:r>
            <w:r>
              <w:rPr>
                <w:rFonts w:cs="Tahoma"/>
                <w:szCs w:val="20"/>
              </w:rPr>
              <w:t>.</w:t>
            </w:r>
            <w:r w:rsidR="00780F4C">
              <w:rPr>
                <w:rFonts w:cs="Tahoma"/>
                <w:szCs w:val="20"/>
              </w:rPr>
              <w:t>89</w:t>
            </w:r>
          </w:p>
        </w:tc>
      </w:tr>
      <w:tr w:rsidR="009028BF" w:rsidTr="00773C47">
        <w:tc>
          <w:tcPr>
            <w:tcW w:w="3420" w:type="dxa"/>
          </w:tcPr>
          <w:p w:rsidR="009028BF" w:rsidRDefault="009028BF" w:rsidP="009028BF">
            <w:pPr>
              <w:pStyle w:val="Table"/>
              <w:keepNext/>
            </w:pPr>
            <w:r>
              <w:t>Exchange Rate (</w:t>
            </w:r>
            <w:r w:rsidRPr="00AB49FB">
              <w:t>NGN:USD FX Rate</w:t>
            </w:r>
            <w:r>
              <w:t>)</w:t>
            </w:r>
          </w:p>
        </w:tc>
        <w:tc>
          <w:tcPr>
            <w:tcW w:w="1215" w:type="dxa"/>
            <w:vAlign w:val="center"/>
          </w:tcPr>
          <w:p w:rsidR="009028BF" w:rsidRPr="007543E5" w:rsidRDefault="009028BF" w:rsidP="009028BF">
            <w:pPr>
              <w:pStyle w:val="Default"/>
              <w:keepNext/>
              <w:jc w:val="right"/>
              <w:rPr>
                <w:rFonts w:ascii="Tahoma" w:hAnsi="Tahoma" w:cs="Tahoma"/>
                <w:sz w:val="20"/>
                <w:szCs w:val="20"/>
              </w:rPr>
            </w:pPr>
            <w:r>
              <w:rPr>
                <w:rFonts w:ascii="Tahoma" w:hAnsi="Tahoma" w:cs="Tahoma"/>
                <w:sz w:val="20"/>
                <w:szCs w:val="20"/>
              </w:rPr>
              <w:t>305</w:t>
            </w:r>
          </w:p>
        </w:tc>
        <w:tc>
          <w:tcPr>
            <w:tcW w:w="1215" w:type="dxa"/>
            <w:vAlign w:val="center"/>
          </w:tcPr>
          <w:p w:rsidR="009028BF" w:rsidRPr="007543E5" w:rsidRDefault="009028BF" w:rsidP="009028BF">
            <w:pPr>
              <w:pStyle w:val="Default"/>
              <w:keepNext/>
              <w:jc w:val="right"/>
              <w:rPr>
                <w:rFonts w:ascii="Tahoma" w:hAnsi="Tahoma" w:cs="Tahoma"/>
                <w:sz w:val="20"/>
                <w:szCs w:val="20"/>
              </w:rPr>
            </w:pPr>
            <w:r>
              <w:rPr>
                <w:rFonts w:ascii="Tahoma" w:hAnsi="Tahoma" w:cs="Tahoma"/>
                <w:sz w:val="20"/>
                <w:szCs w:val="20"/>
              </w:rPr>
              <w:t>305</w:t>
            </w:r>
          </w:p>
        </w:tc>
        <w:tc>
          <w:tcPr>
            <w:tcW w:w="1215" w:type="dxa"/>
            <w:vAlign w:val="center"/>
          </w:tcPr>
          <w:p w:rsidR="009028BF" w:rsidRPr="007543E5" w:rsidRDefault="009028BF" w:rsidP="009028BF">
            <w:pPr>
              <w:pStyle w:val="Default"/>
              <w:keepNext/>
              <w:jc w:val="center"/>
              <w:rPr>
                <w:rFonts w:ascii="Tahoma" w:hAnsi="Tahoma" w:cs="Tahoma"/>
                <w:sz w:val="20"/>
                <w:szCs w:val="20"/>
              </w:rPr>
            </w:pPr>
            <w:r>
              <w:rPr>
                <w:rFonts w:ascii="Tahoma" w:hAnsi="Tahoma" w:cs="Tahoma"/>
                <w:sz w:val="20"/>
                <w:szCs w:val="20"/>
              </w:rPr>
              <w:t>305</w:t>
            </w:r>
          </w:p>
        </w:tc>
        <w:tc>
          <w:tcPr>
            <w:tcW w:w="1215" w:type="dxa"/>
            <w:vAlign w:val="center"/>
          </w:tcPr>
          <w:p w:rsidR="009028BF" w:rsidRPr="007543E5" w:rsidRDefault="00780F4C" w:rsidP="00773C47">
            <w:pPr>
              <w:pStyle w:val="Table"/>
              <w:keepNext/>
              <w:jc w:val="right"/>
              <w:rPr>
                <w:rFonts w:cs="Tahoma"/>
                <w:szCs w:val="20"/>
              </w:rPr>
            </w:pPr>
            <w:r>
              <w:rPr>
                <w:rFonts w:cs="Tahoma"/>
                <w:szCs w:val="20"/>
              </w:rPr>
              <w:t>279</w:t>
            </w:r>
          </w:p>
        </w:tc>
      </w:tr>
      <w:tr w:rsidR="009028BF" w:rsidTr="000E55F7">
        <w:tc>
          <w:tcPr>
            <w:tcW w:w="3420" w:type="dxa"/>
          </w:tcPr>
          <w:p w:rsidR="009028BF" w:rsidRDefault="009028BF" w:rsidP="009028BF">
            <w:pPr>
              <w:pStyle w:val="Table"/>
              <w:keepNext/>
            </w:pPr>
            <w:r>
              <w:t>Unemployment (%)</w:t>
            </w:r>
          </w:p>
        </w:tc>
        <w:tc>
          <w:tcPr>
            <w:tcW w:w="1215" w:type="dxa"/>
            <w:vAlign w:val="bottom"/>
          </w:tcPr>
          <w:p w:rsidR="009028BF" w:rsidRPr="007543E5" w:rsidRDefault="009028BF" w:rsidP="009028BF">
            <w:pPr>
              <w:pStyle w:val="NoSpacing"/>
              <w:keepNext/>
              <w:jc w:val="right"/>
              <w:rPr>
                <w:rFonts w:ascii="Tahoma" w:eastAsia="Times New Roman" w:hAnsi="Tahoma" w:cs="Tahoma"/>
                <w:bCs/>
                <w:sz w:val="20"/>
                <w:szCs w:val="20"/>
                <w:lang w:eastAsia="ig-NG"/>
              </w:rPr>
            </w:pPr>
            <w:r>
              <w:rPr>
                <w:rFonts w:ascii="Tahoma" w:eastAsia="Times New Roman" w:hAnsi="Tahoma" w:cs="Tahoma"/>
                <w:bCs/>
                <w:sz w:val="20"/>
                <w:szCs w:val="20"/>
                <w:lang w:eastAsia="ig-NG"/>
              </w:rPr>
              <w:t>18.1</w:t>
            </w:r>
          </w:p>
        </w:tc>
        <w:tc>
          <w:tcPr>
            <w:tcW w:w="1215" w:type="dxa"/>
            <w:vAlign w:val="bottom"/>
          </w:tcPr>
          <w:p w:rsidR="009028BF" w:rsidRPr="007543E5" w:rsidRDefault="009028BF" w:rsidP="009028BF">
            <w:pPr>
              <w:pStyle w:val="NoSpacing"/>
              <w:keepNext/>
              <w:jc w:val="right"/>
              <w:rPr>
                <w:rFonts w:ascii="Tahoma" w:eastAsia="Times New Roman" w:hAnsi="Tahoma" w:cs="Tahoma"/>
                <w:bCs/>
                <w:sz w:val="20"/>
                <w:szCs w:val="20"/>
                <w:lang w:eastAsia="ig-NG"/>
              </w:rPr>
            </w:pPr>
            <w:r>
              <w:rPr>
                <w:rFonts w:ascii="Tahoma" w:eastAsia="Times New Roman" w:hAnsi="Tahoma" w:cs="Tahoma"/>
                <w:bCs/>
                <w:sz w:val="20"/>
                <w:szCs w:val="20"/>
                <w:lang w:eastAsia="ig-NG"/>
              </w:rPr>
              <w:t>23.1</w:t>
            </w:r>
          </w:p>
        </w:tc>
        <w:tc>
          <w:tcPr>
            <w:tcW w:w="1215" w:type="dxa"/>
            <w:vAlign w:val="bottom"/>
          </w:tcPr>
          <w:p w:rsidR="009028BF" w:rsidRPr="007543E5" w:rsidRDefault="009028BF" w:rsidP="009028BF">
            <w:pPr>
              <w:pStyle w:val="NoSpacing"/>
              <w:keepNext/>
              <w:jc w:val="right"/>
              <w:rPr>
                <w:rFonts w:ascii="Tahoma" w:eastAsia="Times New Roman" w:hAnsi="Tahoma" w:cs="Tahoma"/>
                <w:bCs/>
                <w:sz w:val="20"/>
                <w:szCs w:val="20"/>
                <w:lang w:eastAsia="ig-NG"/>
              </w:rPr>
            </w:pPr>
            <w:r>
              <w:rPr>
                <w:rFonts w:ascii="Tahoma" w:eastAsia="Times New Roman" w:hAnsi="Tahoma" w:cs="Tahoma"/>
                <w:bCs/>
                <w:sz w:val="20"/>
                <w:szCs w:val="20"/>
                <w:lang w:eastAsia="ig-NG"/>
              </w:rPr>
              <w:t>23.1</w:t>
            </w:r>
          </w:p>
        </w:tc>
        <w:tc>
          <w:tcPr>
            <w:tcW w:w="1215" w:type="dxa"/>
          </w:tcPr>
          <w:p w:rsidR="009028BF" w:rsidRPr="007543E5" w:rsidRDefault="009028BF" w:rsidP="009028BF">
            <w:pPr>
              <w:pStyle w:val="Table"/>
              <w:keepNext/>
              <w:jc w:val="right"/>
              <w:rPr>
                <w:rFonts w:cs="Tahoma"/>
                <w:szCs w:val="20"/>
              </w:rPr>
            </w:pPr>
            <w:r>
              <w:rPr>
                <w:rFonts w:cs="Tahoma"/>
                <w:szCs w:val="20"/>
              </w:rPr>
              <w:t>0</w:t>
            </w:r>
          </w:p>
        </w:tc>
      </w:tr>
      <w:tr w:rsidR="009028BF" w:rsidTr="00EA69BC">
        <w:tc>
          <w:tcPr>
            <w:tcW w:w="3420" w:type="dxa"/>
          </w:tcPr>
          <w:p w:rsidR="009028BF" w:rsidRDefault="009028BF" w:rsidP="009028BF">
            <w:pPr>
              <w:pStyle w:val="Table"/>
              <w:keepNext/>
            </w:pPr>
            <w:r>
              <w:t>Balance of Payments (% of GDP)</w:t>
            </w:r>
          </w:p>
        </w:tc>
        <w:tc>
          <w:tcPr>
            <w:tcW w:w="1215" w:type="dxa"/>
          </w:tcPr>
          <w:p w:rsidR="009028BF" w:rsidRPr="007543E5" w:rsidRDefault="006B375E" w:rsidP="009028BF">
            <w:pPr>
              <w:pStyle w:val="Table"/>
              <w:keepNext/>
              <w:jc w:val="right"/>
              <w:rPr>
                <w:rFonts w:cs="Tahoma"/>
                <w:szCs w:val="20"/>
              </w:rPr>
            </w:pPr>
            <w:r>
              <w:rPr>
                <w:rFonts w:cs="Tahoma"/>
                <w:szCs w:val="20"/>
              </w:rPr>
              <w:t>10.4</w:t>
            </w:r>
          </w:p>
        </w:tc>
        <w:tc>
          <w:tcPr>
            <w:tcW w:w="1215" w:type="dxa"/>
          </w:tcPr>
          <w:p w:rsidR="009028BF" w:rsidRPr="007543E5" w:rsidRDefault="006B375E" w:rsidP="009028BF">
            <w:pPr>
              <w:pStyle w:val="Table"/>
              <w:keepNext/>
              <w:jc w:val="right"/>
              <w:rPr>
                <w:rFonts w:cs="Tahoma"/>
                <w:szCs w:val="20"/>
              </w:rPr>
            </w:pPr>
            <w:r>
              <w:rPr>
                <w:rFonts w:cs="Tahoma"/>
                <w:szCs w:val="20"/>
              </w:rPr>
              <w:t>3.9</w:t>
            </w:r>
          </w:p>
        </w:tc>
        <w:tc>
          <w:tcPr>
            <w:tcW w:w="1215" w:type="dxa"/>
          </w:tcPr>
          <w:p w:rsidR="009028BF" w:rsidRPr="007543E5" w:rsidRDefault="006B375E" w:rsidP="009028BF">
            <w:pPr>
              <w:pStyle w:val="Table"/>
              <w:keepNext/>
              <w:jc w:val="right"/>
              <w:rPr>
                <w:rFonts w:cs="Tahoma"/>
                <w:szCs w:val="20"/>
              </w:rPr>
            </w:pPr>
            <w:r>
              <w:rPr>
                <w:rFonts w:cs="Tahoma"/>
                <w:szCs w:val="20"/>
              </w:rPr>
              <w:t>-17.0</w:t>
            </w:r>
          </w:p>
        </w:tc>
        <w:tc>
          <w:tcPr>
            <w:tcW w:w="1215" w:type="dxa"/>
          </w:tcPr>
          <w:p w:rsidR="009028BF" w:rsidRPr="007543E5" w:rsidRDefault="006B375E" w:rsidP="009028BF">
            <w:pPr>
              <w:pStyle w:val="Table"/>
              <w:keepNext/>
              <w:jc w:val="right"/>
              <w:rPr>
                <w:rFonts w:cs="Tahoma"/>
                <w:szCs w:val="20"/>
              </w:rPr>
            </w:pPr>
            <w:r>
              <w:rPr>
                <w:rFonts w:cs="Tahoma"/>
                <w:szCs w:val="20"/>
              </w:rPr>
              <w:t>-15.8</w:t>
            </w:r>
          </w:p>
        </w:tc>
      </w:tr>
    </w:tbl>
    <w:p w:rsidR="00A76322" w:rsidRPr="0016609C" w:rsidRDefault="00493589" w:rsidP="0034768A">
      <w:pPr>
        <w:spacing w:before="0" w:after="0"/>
        <w:ind w:left="990" w:hanging="990"/>
        <w:rPr>
          <w:rFonts w:cs="Tahoma"/>
          <w:szCs w:val="20"/>
        </w:rPr>
      </w:pPr>
      <w:r w:rsidRPr="0034768A">
        <w:rPr>
          <w:rFonts w:ascii="Arial Black" w:hAnsi="Arial Black"/>
        </w:rPr>
        <w:t>Source:</w:t>
      </w:r>
      <w:r w:rsidR="00A76322" w:rsidRPr="00112F8A">
        <w:t xml:space="preserve"> National Bure</w:t>
      </w:r>
      <w:r>
        <w:t>au of Statistics,</w:t>
      </w:r>
      <w:r w:rsidR="00780F4C" w:rsidRPr="00780F4C">
        <w:t xml:space="preserve"> </w:t>
      </w:r>
      <w:r w:rsidR="00780F4C">
        <w:t>Public Presentation of 2021 FGN Approved</w:t>
      </w:r>
      <w:r w:rsidR="0034768A">
        <w:t xml:space="preserve"> </w:t>
      </w:r>
      <w:r w:rsidR="00780F4C">
        <w:t>Budget</w:t>
      </w:r>
      <w:r w:rsidR="0034768A">
        <w:t xml:space="preserve"> </w:t>
      </w:r>
      <w:r w:rsidR="00780F4C">
        <w:t>breakdown &amp; highlights</w:t>
      </w:r>
    </w:p>
    <w:p w:rsidR="00A76322" w:rsidRPr="00112F8A" w:rsidRDefault="00A76322" w:rsidP="00A76322">
      <w:pPr>
        <w:pStyle w:val="Heading4"/>
      </w:pPr>
      <w:r w:rsidRPr="00112F8A">
        <w:t xml:space="preserve">Petroleum Sector </w:t>
      </w:r>
    </w:p>
    <w:p w:rsidR="00036671" w:rsidRPr="000849C2" w:rsidRDefault="00036671" w:rsidP="000849C2">
      <w:pPr>
        <w:pStyle w:val="NumberedPara"/>
        <w:tabs>
          <w:tab w:val="clear" w:pos="1287"/>
          <w:tab w:val="num" w:pos="450"/>
        </w:tabs>
        <w:ind w:left="450" w:hanging="450"/>
        <w:rPr>
          <w:color w:val="000000"/>
        </w:rPr>
      </w:pPr>
      <w:r w:rsidRPr="000849C2">
        <w:rPr>
          <w:color w:val="000000"/>
        </w:rPr>
        <w:t>Oil was discovered in Nigeria in 1956 at Oloibiri in the Niger Delta after half a century of exploration. The discovery was made by Shell-BP, at the time the sole concessionaire. Nigeria joined the ranks of oil producers in 1958 when its first oil field came on stream producing 5,100 bpd. After 1960, exploration rights in onshore and offshore areas adjoining the Niger Delta were extended to other foreign companies. In 1965 the EA field was discovered by Shell in shallow water southeast of Warri.</w:t>
      </w:r>
      <w:r w:rsidR="00494205" w:rsidRPr="000849C2">
        <w:rPr>
          <w:color w:val="000000"/>
        </w:rPr>
        <w:t xml:space="preserve"> </w:t>
      </w:r>
      <w:r w:rsidR="009801AF" w:rsidRPr="000849C2">
        <w:rPr>
          <w:color w:val="000000"/>
        </w:rPr>
        <w:t>By the late sixties and early seventies, Nigeria had attained a production level of over 2 million barrels of crude oil a day. Although production figures dropped in the eighties due to economic slump, 2004 saw a total rejuvenation of oil production to a record level of 2.5 million barrels per day. Current development strategies are aimed at increasing production to 4million barrels per day by the year 2010.</w:t>
      </w:r>
    </w:p>
    <w:p w:rsidR="002500DE" w:rsidRPr="000849C2" w:rsidRDefault="00036671" w:rsidP="000849C2">
      <w:pPr>
        <w:pStyle w:val="NumberedPara"/>
        <w:tabs>
          <w:tab w:val="clear" w:pos="1287"/>
          <w:tab w:val="num" w:pos="450"/>
        </w:tabs>
        <w:ind w:left="450" w:hanging="450"/>
        <w:rPr>
          <w:color w:val="000000"/>
        </w:rPr>
      </w:pPr>
      <w:r w:rsidRPr="000849C2">
        <w:rPr>
          <w:color w:val="000000"/>
        </w:rPr>
        <w:t xml:space="preserve">Nigeria joined the Organisation of Petroleum Exporting Countries (OPEC) in 1971 and established the Nigerian National Petroleum Company (NNPC) in </w:t>
      </w:r>
      <w:r w:rsidR="00D44E1A" w:rsidRPr="000849C2">
        <w:rPr>
          <w:color w:val="000000"/>
        </w:rPr>
        <w:t>1977;</w:t>
      </w:r>
      <w:r w:rsidRPr="000849C2">
        <w:rPr>
          <w:color w:val="000000"/>
        </w:rPr>
        <w:t xml:space="preserve"> a state owned and controlled company which is a major player in both the upstream and downstream sectors.</w:t>
      </w:r>
    </w:p>
    <w:p w:rsidR="00F5209D" w:rsidRPr="000849C2" w:rsidRDefault="00F5209D" w:rsidP="000849C2">
      <w:pPr>
        <w:pStyle w:val="NumberedPara"/>
        <w:tabs>
          <w:tab w:val="clear" w:pos="1287"/>
          <w:tab w:val="num" w:pos="450"/>
        </w:tabs>
        <w:ind w:left="450" w:hanging="450"/>
        <w:rPr>
          <w:color w:val="000000"/>
        </w:rPr>
      </w:pPr>
      <w:r w:rsidRPr="000849C2">
        <w:rPr>
          <w:color w:val="000000"/>
        </w:rPr>
        <w:t>The COVID-19 Pandemic and the Crude Oil Price War</w:t>
      </w:r>
    </w:p>
    <w:p w:rsidR="00F5209D" w:rsidRPr="002500DE" w:rsidRDefault="00F5209D" w:rsidP="000849C2">
      <w:pPr>
        <w:pStyle w:val="NumberedPara"/>
        <w:tabs>
          <w:tab w:val="clear" w:pos="1287"/>
          <w:tab w:val="num" w:pos="450"/>
        </w:tabs>
        <w:ind w:left="450" w:hanging="450"/>
      </w:pPr>
      <w:r w:rsidRPr="000849C2">
        <w:rPr>
          <w:color w:val="000000"/>
        </w:rPr>
        <w:lastRenderedPageBreak/>
        <w:t>The current pandemic has created an unprecedented and global crisis that will cause regions, countries, sectors, companies and individuals to experience a reaction, resilience, recovery and adjustment for a “new reality.” On the 31stof December 2019, a pneumonia of unknown cause was reported to the WHO from Wuhan, China. This phenomenon has gone on to be widely known as the COVID-19 virus which was declared as a public health emergency by the WHO on the 30thof January 2020, and a Pandemic on the 11thof March 2020. As at the 22ndof June 2020, the pandemic has spread to at least 188 countries infecting over 9.051m people and resulting in the deaths of more than 470 thousand people around the world. As part of efforts to stem the spread of the virus, major economies have instituted lockdowns aimed at minimising human-to-human interactions, but this has in turn resulted in economic challenges and while a cure/vaccine for the virus is still being developed, countries currently have to find a way to balance the economic shocks of these extended lockdowns/restrictions with the associated public health risks.</w:t>
      </w:r>
      <w:r w:rsidR="00C50E4F">
        <w:rPr>
          <w:color w:val="000000"/>
        </w:rPr>
        <w:t xml:space="preserve"> </w:t>
      </w:r>
      <w:r w:rsidRPr="000849C2">
        <w:rPr>
          <w:color w:val="000000"/>
        </w:rPr>
        <w:t>Over the last 6 months, global crude oil prices have seen one of the sharpest drops in history (69%+) from a peak of $60.94/bbl in December 2019 to $18.84/bbl in April 2020. This was triggered by Russia and Saudi Arabia, both of whom were unable to agree on oil price cuts to match the fall in demand due to reduced economic activity by the COVID-19 pandemic. Subsequently, both countries have taken steps to maintain their market dominance against US shale producers who are unable to compete effectively at lower prices. With economic activity slowly resuming, oil prices have started to rebound and as at June 2020, prices have risen up to $43.71/bbl indicating a healthy recovery trend.</w:t>
      </w:r>
    </w:p>
    <w:p w:rsidR="008763E0" w:rsidRDefault="00A76322" w:rsidP="008763E0">
      <w:pPr>
        <w:pStyle w:val="Heading3"/>
        <w:jc w:val="both"/>
      </w:pPr>
      <w:bookmarkStart w:id="45" w:name="_Toc340045250"/>
      <w:bookmarkStart w:id="46" w:name="_Toc340053639"/>
      <w:bookmarkStart w:id="47" w:name="_Toc79827012"/>
      <w:bookmarkEnd w:id="43"/>
      <w:r>
        <w:t>Kogi State</w:t>
      </w:r>
      <w:bookmarkEnd w:id="45"/>
      <w:bookmarkEnd w:id="46"/>
      <w:r>
        <w:t xml:space="preserve"> Economy</w:t>
      </w:r>
      <w:bookmarkEnd w:id="47"/>
    </w:p>
    <w:p w:rsidR="00F7615F" w:rsidRPr="000849C2" w:rsidRDefault="00F7615F" w:rsidP="000849C2">
      <w:pPr>
        <w:pStyle w:val="NumberedPara"/>
        <w:tabs>
          <w:tab w:val="clear" w:pos="1287"/>
          <w:tab w:val="num" w:pos="450"/>
        </w:tabs>
        <w:ind w:left="450" w:hanging="450"/>
        <w:rPr>
          <w:color w:val="000000"/>
        </w:rPr>
      </w:pPr>
      <w:r w:rsidRPr="000849C2">
        <w:rPr>
          <w:color w:val="000000"/>
        </w:rPr>
        <w:t>Agriculture, Forestry and other Bush Activities: Kogi State has extensive arable land for cultivation, with good grazing grounds for livestock breeding and large water bodies for fishing. Agriculture is the mainstay of the state   economy. There are many </w:t>
      </w:r>
      <w:hyperlink r:id="rId20" w:tooltip="Crop" w:history="1">
        <w:r w:rsidRPr="000849C2">
          <w:rPr>
            <w:color w:val="000000"/>
          </w:rPr>
          <w:t>Farm produce</w:t>
        </w:r>
      </w:hyperlink>
      <w:r w:rsidRPr="000849C2">
        <w:rPr>
          <w:color w:val="000000"/>
        </w:rPr>
        <w:t> from the state notably </w:t>
      </w:r>
      <w:hyperlink r:id="rId21" w:tooltip="Coffee" w:history="1">
        <w:r w:rsidRPr="000849C2">
          <w:rPr>
            <w:color w:val="000000"/>
          </w:rPr>
          <w:t>coffee</w:t>
        </w:r>
      </w:hyperlink>
      <w:r w:rsidRPr="000849C2">
        <w:rPr>
          <w:color w:val="000000"/>
        </w:rPr>
        <w:t>, </w:t>
      </w:r>
      <w:hyperlink r:id="rId22" w:tooltip="Cocoa bean" w:history="1">
        <w:r w:rsidRPr="000849C2">
          <w:rPr>
            <w:color w:val="000000"/>
          </w:rPr>
          <w:t>cocoa</w:t>
        </w:r>
      </w:hyperlink>
      <w:r w:rsidRPr="000849C2">
        <w:rPr>
          <w:color w:val="000000"/>
        </w:rPr>
        <w:t>, </w:t>
      </w:r>
      <w:hyperlink r:id="rId23" w:tooltip="Palm oil" w:history="1">
        <w:r w:rsidRPr="000849C2">
          <w:rPr>
            <w:color w:val="000000"/>
          </w:rPr>
          <w:t>palm oil</w:t>
        </w:r>
      </w:hyperlink>
      <w:r w:rsidRPr="000849C2">
        <w:rPr>
          <w:color w:val="000000"/>
        </w:rPr>
        <w:t>, </w:t>
      </w:r>
      <w:hyperlink r:id="rId24" w:tooltip="Cashew" w:history="1">
        <w:r w:rsidRPr="000849C2">
          <w:rPr>
            <w:color w:val="000000"/>
          </w:rPr>
          <w:t>cashews</w:t>
        </w:r>
      </w:hyperlink>
      <w:r w:rsidRPr="000849C2">
        <w:rPr>
          <w:color w:val="000000"/>
        </w:rPr>
        <w:t>, </w:t>
      </w:r>
      <w:hyperlink r:id="rId25" w:tooltip="Bambara groundnut" w:history="1">
        <w:r w:rsidRPr="000849C2">
          <w:rPr>
            <w:color w:val="000000"/>
          </w:rPr>
          <w:t>groundnuts</w:t>
        </w:r>
      </w:hyperlink>
      <w:r w:rsidRPr="000849C2">
        <w:rPr>
          <w:color w:val="000000"/>
        </w:rPr>
        <w:t>, </w:t>
      </w:r>
      <w:hyperlink r:id="rId26" w:tooltip="Maize" w:history="1">
        <w:r w:rsidRPr="000849C2">
          <w:rPr>
            <w:color w:val="000000"/>
          </w:rPr>
          <w:t>maize</w:t>
        </w:r>
      </w:hyperlink>
      <w:r w:rsidRPr="000849C2">
        <w:rPr>
          <w:color w:val="000000"/>
        </w:rPr>
        <w:t>, </w:t>
      </w:r>
      <w:hyperlink r:id="rId27" w:tooltip="Cassava" w:history="1">
        <w:r w:rsidRPr="000849C2">
          <w:rPr>
            <w:color w:val="000000"/>
          </w:rPr>
          <w:t>cassava</w:t>
        </w:r>
      </w:hyperlink>
      <w:r w:rsidRPr="000849C2">
        <w:rPr>
          <w:color w:val="000000"/>
        </w:rPr>
        <w:t>, </w:t>
      </w:r>
      <w:hyperlink r:id="rId28" w:tooltip="Yam (vegetable)" w:history="1">
        <w:r w:rsidRPr="000849C2">
          <w:rPr>
            <w:color w:val="000000"/>
          </w:rPr>
          <w:t>yam</w:t>
        </w:r>
      </w:hyperlink>
      <w:r w:rsidRPr="000849C2">
        <w:rPr>
          <w:color w:val="000000"/>
        </w:rPr>
        <w:t>, </w:t>
      </w:r>
      <w:hyperlink r:id="rId29" w:tooltip="Rice" w:history="1">
        <w:r w:rsidRPr="000849C2">
          <w:rPr>
            <w:color w:val="000000"/>
          </w:rPr>
          <w:t>rice</w:t>
        </w:r>
      </w:hyperlink>
      <w:r w:rsidRPr="000849C2">
        <w:rPr>
          <w:color w:val="000000"/>
        </w:rPr>
        <w:t> and </w:t>
      </w:r>
      <w:hyperlink r:id="rId30" w:tooltip="Melon" w:history="1">
        <w:r w:rsidRPr="000849C2">
          <w:rPr>
            <w:color w:val="000000"/>
          </w:rPr>
          <w:t>melon</w:t>
        </w:r>
      </w:hyperlink>
      <w:r w:rsidRPr="000849C2">
        <w:rPr>
          <w:color w:val="000000"/>
        </w:rPr>
        <w:t xml:space="preserve">. Rice production is encouraged in the flood plains </w:t>
      </w:r>
      <w:r w:rsidRPr="000849C2">
        <w:rPr>
          <w:color w:val="000000"/>
        </w:rPr>
        <w:br/>
        <w:t>of the rivers, while coffee, cocoa, orange</w:t>
      </w:r>
      <w:r w:rsidR="00C2316F">
        <w:rPr>
          <w:color w:val="000000"/>
        </w:rPr>
        <w:t>,</w:t>
      </w:r>
      <w:r w:rsidRPr="000849C2">
        <w:rPr>
          <w:color w:val="000000"/>
        </w:rPr>
        <w:t xml:space="preserve"> and cashew nuts are produced in ljumu and Kabba/Bunu LGAs. Farmers are engaged in share cropping schemes at lyagu, Alade and Adikena. Palm plantations are being rehabilitated and a standard agricultural mechanical workshop is being constructed for the maintenance of machinery.</w:t>
      </w:r>
    </w:p>
    <w:p w:rsidR="00F7615F" w:rsidRPr="000849C2" w:rsidRDefault="00F7615F" w:rsidP="000849C2">
      <w:pPr>
        <w:pStyle w:val="NumberedPara"/>
        <w:tabs>
          <w:tab w:val="clear" w:pos="1287"/>
          <w:tab w:val="num" w:pos="450"/>
        </w:tabs>
        <w:ind w:left="450" w:hanging="450"/>
        <w:rPr>
          <w:color w:val="000000"/>
        </w:rPr>
      </w:pPr>
      <w:r w:rsidRPr="000849C2">
        <w:rPr>
          <w:color w:val="000000"/>
        </w:rPr>
        <w:t xml:space="preserve">The Kogi State Agricultural Development Project was established with an initial </w:t>
      </w:r>
      <w:r w:rsidRPr="000849C2">
        <w:rPr>
          <w:color w:val="000000"/>
        </w:rPr>
        <w:br/>
        <w:t xml:space="preserve">investment capital of N144 million to be drawn from a World Bank loan. This was </w:t>
      </w:r>
      <w:r w:rsidRPr="000849C2">
        <w:rPr>
          <w:color w:val="000000"/>
        </w:rPr>
        <w:br/>
        <w:t xml:space="preserve">done to improve 300 kilometres of rural roads, provide fifty points of potable </w:t>
      </w:r>
      <w:r w:rsidRPr="000849C2">
        <w:rPr>
          <w:color w:val="000000"/>
        </w:rPr>
        <w:br/>
        <w:t xml:space="preserve">water and distribute 50 tonnes of various farm inputs. Much emphasis has been </w:t>
      </w:r>
      <w:r w:rsidRPr="000849C2">
        <w:rPr>
          <w:color w:val="000000"/>
        </w:rPr>
        <w:br/>
        <w:t xml:space="preserve">placed on agriculture with substantial lumbering and saw milling carried out </w:t>
      </w:r>
      <w:r w:rsidRPr="000849C2">
        <w:rPr>
          <w:color w:val="000000"/>
        </w:rPr>
        <w:br/>
        <w:t>in the forest areas of the state (e.g ljumu and Kabba/Bunu LGAs).</w:t>
      </w:r>
    </w:p>
    <w:p w:rsidR="00F7615F" w:rsidRPr="000849C2" w:rsidRDefault="00F7615F" w:rsidP="000849C2">
      <w:pPr>
        <w:pStyle w:val="NumberedPara"/>
        <w:tabs>
          <w:tab w:val="clear" w:pos="1287"/>
          <w:tab w:val="num" w:pos="450"/>
        </w:tabs>
        <w:ind w:left="450" w:hanging="450"/>
        <w:rPr>
          <w:color w:val="000000"/>
        </w:rPr>
      </w:pPr>
      <w:r w:rsidRPr="000849C2">
        <w:rPr>
          <w:color w:val="000000"/>
        </w:rPr>
        <w:t xml:space="preserve">Exotic plants such as teak (tectona grandis) and pulp wood are being planted </w:t>
      </w:r>
      <w:r w:rsidRPr="000849C2">
        <w:rPr>
          <w:color w:val="000000"/>
        </w:rPr>
        <w:br/>
        <w:t xml:space="preserve">in different parts of the State. Other basic economic activities include the </w:t>
      </w:r>
      <w:r w:rsidRPr="000849C2">
        <w:rPr>
          <w:color w:val="000000"/>
        </w:rPr>
        <w:br/>
        <w:t xml:space="preserve">unincorporated private sector with farmers, fishermen, artisans and people in </w:t>
      </w:r>
      <w:r w:rsidRPr="000849C2">
        <w:rPr>
          <w:color w:val="000000"/>
        </w:rPr>
        <w:br/>
        <w:t xml:space="preserve">other activities such as mechanics, vulcanizers, electricians, carpenters bricklayers, </w:t>
      </w:r>
      <w:r w:rsidRPr="000849C2">
        <w:rPr>
          <w:color w:val="000000"/>
        </w:rPr>
        <w:br/>
        <w:t>plumbers and traders.</w:t>
      </w:r>
    </w:p>
    <w:p w:rsidR="00F7615F" w:rsidRPr="000849C2" w:rsidRDefault="00F7615F" w:rsidP="000849C2">
      <w:pPr>
        <w:pStyle w:val="NumberedPara"/>
        <w:tabs>
          <w:tab w:val="clear" w:pos="1287"/>
          <w:tab w:val="num" w:pos="450"/>
        </w:tabs>
        <w:ind w:left="450" w:hanging="450"/>
        <w:rPr>
          <w:color w:val="000000"/>
        </w:rPr>
      </w:pPr>
      <w:r w:rsidRPr="000849C2">
        <w:rPr>
          <w:color w:val="000000"/>
        </w:rPr>
        <w:t>Mineral Resources: Kogi State is rich in mineral resources. These Mineral resources include </w:t>
      </w:r>
      <w:hyperlink r:id="rId31" w:tooltip="Coal" w:history="1">
        <w:r w:rsidRPr="000849C2">
          <w:rPr>
            <w:color w:val="000000"/>
          </w:rPr>
          <w:t>coal</w:t>
        </w:r>
      </w:hyperlink>
      <w:r w:rsidRPr="000849C2">
        <w:rPr>
          <w:color w:val="000000"/>
        </w:rPr>
        <w:t>, </w:t>
      </w:r>
      <w:hyperlink r:id="rId32" w:tooltip="Limestone" w:history="1">
        <w:r w:rsidRPr="000849C2">
          <w:rPr>
            <w:color w:val="000000"/>
          </w:rPr>
          <w:t>limestone</w:t>
        </w:r>
      </w:hyperlink>
      <w:r w:rsidRPr="000849C2">
        <w:rPr>
          <w:color w:val="000000"/>
        </w:rPr>
        <w:t>, </w:t>
      </w:r>
      <w:hyperlink r:id="rId33" w:tooltip="Iron" w:history="1">
        <w:r w:rsidRPr="000849C2">
          <w:rPr>
            <w:color w:val="000000"/>
          </w:rPr>
          <w:t>iron</w:t>
        </w:r>
      </w:hyperlink>
      <w:r w:rsidRPr="000849C2">
        <w:rPr>
          <w:color w:val="000000"/>
        </w:rPr>
        <w:t>, </w:t>
      </w:r>
      <w:hyperlink r:id="rId34" w:tooltip="Petroleum" w:history="1">
        <w:r w:rsidRPr="000849C2">
          <w:rPr>
            <w:color w:val="000000"/>
          </w:rPr>
          <w:t>petroleum</w:t>
        </w:r>
      </w:hyperlink>
      <w:r w:rsidRPr="000849C2">
        <w:rPr>
          <w:color w:val="000000"/>
        </w:rPr>
        <w:t> and </w:t>
      </w:r>
      <w:hyperlink r:id="rId35" w:tooltip="Tin" w:history="1">
        <w:r w:rsidRPr="000849C2">
          <w:rPr>
            <w:color w:val="000000"/>
          </w:rPr>
          <w:t>tin</w:t>
        </w:r>
      </w:hyperlink>
      <w:r w:rsidRPr="000849C2">
        <w:rPr>
          <w:color w:val="000000"/>
        </w:rPr>
        <w:t xml:space="preserve">. The state is home to the largest iron and steel industry in Nigeria known as Ajaokuta Steel Company Limited and one of </w:t>
      </w:r>
      <w:r w:rsidRPr="000849C2">
        <w:rPr>
          <w:color w:val="000000"/>
        </w:rPr>
        <w:lastRenderedPageBreak/>
        <w:t>the largest cement factories in Africa, the Obajana Cement Factory.  Most of these minerals are available in commercial quantities. Coal at KotonKarfe, Okaba and Ogboyaga; limestone and marble at Jakura, Ajaokuta, Osara, Ekinrin Adde and ltobe; kaolin at Agbaja and iron ore at Agbaja plateau and Itakpe hills. It is worthy of note here to highlight that out of the seven (7) mineral resources of focus by Nigeria in the effort towards diversification, three (3) of them are available in Kogi State in commercial quantities. These are Iron Ore, Limestone and Coal.</w:t>
      </w:r>
    </w:p>
    <w:p w:rsidR="00F7615F" w:rsidRPr="000849C2" w:rsidRDefault="00F7615F" w:rsidP="000849C2">
      <w:pPr>
        <w:pStyle w:val="NumberedPara"/>
        <w:tabs>
          <w:tab w:val="clear" w:pos="1287"/>
          <w:tab w:val="num" w:pos="450"/>
        </w:tabs>
        <w:ind w:left="450" w:hanging="450"/>
        <w:rPr>
          <w:color w:val="000000"/>
        </w:rPr>
      </w:pPr>
      <w:r w:rsidRPr="000849C2">
        <w:rPr>
          <w:color w:val="000000"/>
        </w:rPr>
        <w:t xml:space="preserve">Coal was mined in Kogi State during the Nigerian civil war; limestone and </w:t>
      </w:r>
      <w:r w:rsidR="00813361" w:rsidRPr="000849C2">
        <w:rPr>
          <w:color w:val="000000"/>
        </w:rPr>
        <w:t>marble are exploited at Jakura.</w:t>
      </w:r>
      <w:r w:rsidRPr="000849C2">
        <w:rPr>
          <w:color w:val="000000"/>
        </w:rPr>
        <w:t xml:space="preserve"> Other minerals include feldspar </w:t>
      </w:r>
      <w:r w:rsidRPr="000849C2">
        <w:rPr>
          <w:color w:val="000000"/>
        </w:rPr>
        <w:br/>
        <w:t xml:space="preserve">at Okene and Osara; clay, cassiterite, columbite and tantalite at Egbe; gold </w:t>
      </w:r>
      <w:r w:rsidRPr="000849C2">
        <w:rPr>
          <w:color w:val="000000"/>
        </w:rPr>
        <w:br/>
        <w:t>at Isanlu, gems, quartz, mica and crude oil at Idah. At the present time however, attention is being given for the commencement of exploitation of Coal in Kogi East by Dangote group. The Federal Government has started giving the exploitation of Itakpe Iron Ore attention. For years now the limestone had continued to be exploited by Dangote group into cement manufacturing.</w:t>
      </w:r>
    </w:p>
    <w:p w:rsidR="00F7615F" w:rsidRPr="000849C2" w:rsidRDefault="00F7615F" w:rsidP="000849C2">
      <w:pPr>
        <w:pStyle w:val="NumberedPara"/>
        <w:tabs>
          <w:tab w:val="clear" w:pos="1287"/>
          <w:tab w:val="num" w:pos="450"/>
        </w:tabs>
        <w:ind w:left="450" w:hanging="450"/>
        <w:rPr>
          <w:color w:val="000000"/>
        </w:rPr>
      </w:pPr>
      <w:r w:rsidRPr="000849C2">
        <w:rPr>
          <w:color w:val="000000"/>
        </w:rPr>
        <w:t xml:space="preserve">Industrial Development: The available resources are land, water, minerals, agriculture and forestry, hydro power and electricity. </w:t>
      </w:r>
      <w:r w:rsidRPr="000849C2">
        <w:rPr>
          <w:color w:val="000000"/>
        </w:rPr>
        <w:br/>
        <w:t>Ajaokuta iron and steel and the tertiary institutions in the State are potential sources of input for industrialisation, if properly developed and maintained. There were sixteen industrial establishments operating in the State in 1992. Development of the Ajaokuta Steel Company will lead to springing up of upstream and downstream industries in Kogi State.</w:t>
      </w:r>
    </w:p>
    <w:p w:rsidR="00F7615F" w:rsidRPr="000849C2" w:rsidRDefault="00F7615F" w:rsidP="000849C2">
      <w:pPr>
        <w:pStyle w:val="NumberedPara"/>
        <w:tabs>
          <w:tab w:val="clear" w:pos="1287"/>
          <w:tab w:val="num" w:pos="450"/>
        </w:tabs>
        <w:ind w:left="450" w:hanging="450"/>
        <w:rPr>
          <w:color w:val="000000"/>
        </w:rPr>
      </w:pPr>
      <w:r w:rsidRPr="000849C2">
        <w:rPr>
          <w:color w:val="000000"/>
        </w:rPr>
        <w:t xml:space="preserve">The Itakpe Iron Ore Mining Company and the Ajaokuta Steel Company, </w:t>
      </w:r>
      <w:r w:rsidRPr="000849C2">
        <w:rPr>
          <w:color w:val="000000"/>
        </w:rPr>
        <w:br/>
        <w:t xml:space="preserve">both of which could generate subsidiary industries such as iron and steel, </w:t>
      </w:r>
      <w:r w:rsidRPr="000849C2">
        <w:rPr>
          <w:color w:val="000000"/>
        </w:rPr>
        <w:br/>
        <w:t xml:space="preserve">foundries, cement plant, tar installation plant, carbon black and carbon graphic </w:t>
      </w:r>
      <w:r w:rsidRPr="000849C2">
        <w:rPr>
          <w:color w:val="000000"/>
        </w:rPr>
        <w:br/>
        <w:t xml:space="preserve">electrodes industry light forging, metal fabrication and agricultural tools </w:t>
      </w:r>
      <w:r w:rsidRPr="000849C2">
        <w:rPr>
          <w:color w:val="000000"/>
        </w:rPr>
        <w:br/>
        <w:t>and implements industries.</w:t>
      </w:r>
    </w:p>
    <w:p w:rsidR="00F7615F" w:rsidRPr="000849C2" w:rsidRDefault="00F7615F" w:rsidP="000849C2">
      <w:pPr>
        <w:pStyle w:val="NumberedPara"/>
        <w:tabs>
          <w:tab w:val="clear" w:pos="1287"/>
          <w:tab w:val="num" w:pos="450"/>
        </w:tabs>
        <w:ind w:left="450" w:hanging="450"/>
        <w:rPr>
          <w:color w:val="000000"/>
        </w:rPr>
      </w:pPr>
      <w:r w:rsidRPr="000849C2">
        <w:rPr>
          <w:color w:val="000000"/>
        </w:rPr>
        <w:t xml:space="preserve">Development Potentials: Kogi State's endowment of natural resources </w:t>
      </w:r>
      <w:r w:rsidRPr="000849C2">
        <w:rPr>
          <w:color w:val="000000"/>
        </w:rPr>
        <w:br/>
        <w:t xml:space="preserve">include land, water, mineral and forest resources. The vast land area of the </w:t>
      </w:r>
      <w:r w:rsidRPr="000849C2">
        <w:rPr>
          <w:color w:val="000000"/>
        </w:rPr>
        <w:br/>
        <w:t>State provides adequate opportunity for the location of various types of industrial and other economic activities.</w:t>
      </w:r>
    </w:p>
    <w:p w:rsidR="00F7615F" w:rsidRPr="000849C2" w:rsidRDefault="00F7615F" w:rsidP="000849C2">
      <w:pPr>
        <w:pStyle w:val="NumberedPara"/>
        <w:tabs>
          <w:tab w:val="clear" w:pos="1287"/>
          <w:tab w:val="num" w:pos="450"/>
        </w:tabs>
        <w:ind w:left="450" w:hanging="450"/>
        <w:rPr>
          <w:color w:val="000000"/>
        </w:rPr>
      </w:pPr>
      <w:r w:rsidRPr="000849C2">
        <w:rPr>
          <w:color w:val="000000"/>
        </w:rPr>
        <w:t xml:space="preserve">The water resources of Rivers Niger and Benue and their several tributaries </w:t>
      </w:r>
      <w:r w:rsidRPr="000849C2">
        <w:rPr>
          <w:color w:val="000000"/>
        </w:rPr>
        <w:br/>
        <w:t xml:space="preserve">could provide ample water supply for people, animals and various industries </w:t>
      </w:r>
      <w:r w:rsidRPr="000849C2">
        <w:rPr>
          <w:color w:val="000000"/>
        </w:rPr>
        <w:br/>
        <w:t>when fully harnessed. The confluence of Rivers Niger and Benue could be an important source of tourist attraction. Fishery could be developed on a large scale with allied fishery industries.</w:t>
      </w:r>
    </w:p>
    <w:p w:rsidR="00F7615F" w:rsidRPr="000849C2" w:rsidRDefault="00F7615F" w:rsidP="000849C2">
      <w:pPr>
        <w:pStyle w:val="NumberedPara"/>
        <w:tabs>
          <w:tab w:val="clear" w:pos="1287"/>
          <w:tab w:val="num" w:pos="450"/>
        </w:tabs>
        <w:ind w:left="450" w:hanging="450"/>
        <w:rPr>
          <w:color w:val="000000"/>
        </w:rPr>
      </w:pPr>
      <w:r w:rsidRPr="000849C2">
        <w:rPr>
          <w:color w:val="000000"/>
        </w:rPr>
        <w:t xml:space="preserve">The waterfalls at Osomi, Ogugu and Ofejiji are potential sources of hydro-electricity. </w:t>
      </w:r>
      <w:r w:rsidRPr="000849C2">
        <w:rPr>
          <w:color w:val="000000"/>
        </w:rPr>
        <w:br/>
        <w:t xml:space="preserve">The water from the rivers could support large irrigation schemes for raising </w:t>
      </w:r>
      <w:r w:rsidRPr="000849C2">
        <w:rPr>
          <w:color w:val="000000"/>
        </w:rPr>
        <w:br/>
        <w:t>various crops. The forests provide wood for timber and fuel.</w:t>
      </w:r>
    </w:p>
    <w:p w:rsidR="00F7615F" w:rsidRPr="000849C2" w:rsidRDefault="00F7615F" w:rsidP="000849C2">
      <w:pPr>
        <w:pStyle w:val="NumberedPara"/>
        <w:tabs>
          <w:tab w:val="clear" w:pos="1287"/>
          <w:tab w:val="num" w:pos="450"/>
        </w:tabs>
        <w:ind w:left="450" w:hanging="450"/>
        <w:rPr>
          <w:color w:val="000000"/>
        </w:rPr>
      </w:pPr>
      <w:r w:rsidRPr="000849C2">
        <w:rPr>
          <w:color w:val="000000"/>
        </w:rPr>
        <w:t xml:space="preserve">Local Sourcing of Raw Materials: Agricultural products such as grains </w:t>
      </w:r>
      <w:r w:rsidRPr="000849C2">
        <w:rPr>
          <w:color w:val="000000"/>
        </w:rPr>
        <w:br/>
        <w:t xml:space="preserve">(maize, guinea corn, rice and others), root crops (yam, cassava and groundnut etc), Other crops include beans, soya beans, cocoa and coffee provide the needed raw materials </w:t>
      </w:r>
      <w:r w:rsidRPr="000849C2">
        <w:rPr>
          <w:color w:val="000000"/>
        </w:rPr>
        <w:br/>
        <w:t xml:space="preserve">for cereals, flour beverages and other food processing industries. Livestock and </w:t>
      </w:r>
      <w:r w:rsidRPr="000849C2">
        <w:rPr>
          <w:color w:val="000000"/>
        </w:rPr>
        <w:br/>
        <w:t>fisheries could provide raw materials for meat and fish canning industries.</w:t>
      </w:r>
    </w:p>
    <w:p w:rsidR="00F7615F" w:rsidRPr="000849C2" w:rsidRDefault="00F7615F" w:rsidP="000849C2">
      <w:pPr>
        <w:pStyle w:val="NumberedPara"/>
        <w:tabs>
          <w:tab w:val="clear" w:pos="1287"/>
          <w:tab w:val="num" w:pos="450"/>
        </w:tabs>
        <w:ind w:left="450" w:hanging="450"/>
        <w:rPr>
          <w:color w:val="000000"/>
        </w:rPr>
      </w:pPr>
      <w:r w:rsidRPr="000849C2">
        <w:rPr>
          <w:color w:val="000000"/>
        </w:rPr>
        <w:t xml:space="preserve">The forest has the potential to provide wood for plywood and other wood related industries to produce such items as toothpicks, matches and other household utensils while foliage and minerals are sources of raw materials </w:t>
      </w:r>
      <w:r w:rsidR="00C50E4F">
        <w:rPr>
          <w:color w:val="000000"/>
        </w:rPr>
        <w:t xml:space="preserve">for chemical and pharmaceutical </w:t>
      </w:r>
      <w:r w:rsidRPr="000849C2">
        <w:rPr>
          <w:color w:val="000000"/>
        </w:rPr>
        <w:t xml:space="preserve">industries. </w:t>
      </w:r>
      <w:r w:rsidRPr="000849C2">
        <w:rPr>
          <w:color w:val="000000"/>
        </w:rPr>
        <w:br/>
      </w:r>
      <w:r w:rsidRPr="000849C2">
        <w:rPr>
          <w:color w:val="000000"/>
        </w:rPr>
        <w:lastRenderedPageBreak/>
        <w:t>Mineral resources in the State can provide immense local sources of raw materials for the manufacture of various products.</w:t>
      </w:r>
    </w:p>
    <w:p w:rsidR="00F7615F" w:rsidRPr="000849C2" w:rsidRDefault="00F7615F" w:rsidP="000849C2">
      <w:pPr>
        <w:pStyle w:val="NumberedPara"/>
        <w:tabs>
          <w:tab w:val="clear" w:pos="1287"/>
          <w:tab w:val="num" w:pos="450"/>
        </w:tabs>
        <w:ind w:left="450" w:hanging="450"/>
        <w:rPr>
          <w:color w:val="000000"/>
        </w:rPr>
      </w:pPr>
      <w:r w:rsidRPr="000849C2">
        <w:rPr>
          <w:color w:val="000000"/>
        </w:rPr>
        <w:t xml:space="preserve">Coal and iron ore provide raw materials for the iron and steel industry and </w:t>
      </w:r>
      <w:r w:rsidRPr="000849C2">
        <w:rPr>
          <w:color w:val="000000"/>
        </w:rPr>
        <w:br/>
        <w:t xml:space="preserve">for the manufacture of machinery, alloys, oxides, tools, rails, linoleum and </w:t>
      </w:r>
      <w:r w:rsidRPr="000849C2">
        <w:rPr>
          <w:color w:val="000000"/>
        </w:rPr>
        <w:br/>
        <w:t xml:space="preserve">fillers. Coal also provides raw material for making ammonia, tar, cyanide, explosives and organic compounds. Limestone and marble at Jakura, Oshokoshoko, Ajaokuta, Osara, </w:t>
      </w:r>
      <w:r w:rsidRPr="000849C2">
        <w:rPr>
          <w:color w:val="000000"/>
        </w:rPr>
        <w:br/>
        <w:t>Ekinrin Adde and ltobe have raw materials for making cement, glass, lime, ceramics, carbon dioxide, ethylene, caustic soda, carbide, paint, floor slabs, terrazzo chips and building stones amongst others. Feldspar from Osara, Okene, Okoloke and Egbe and clay obtained in many parts of the LGAs of the State could supply the needed raw materials for glass, ceramics and pottery. Kaolin from Agbaja is an important raw material for chalk making, paint, kaolin poultice and Plaster of Paris (POP).</w:t>
      </w:r>
    </w:p>
    <w:p w:rsidR="00A76322" w:rsidRPr="000351C1" w:rsidRDefault="00F7615F" w:rsidP="000849C2">
      <w:pPr>
        <w:pStyle w:val="NumberedPara"/>
        <w:tabs>
          <w:tab w:val="clear" w:pos="1287"/>
          <w:tab w:val="num" w:pos="450"/>
        </w:tabs>
        <w:ind w:left="450" w:hanging="450"/>
      </w:pPr>
      <w:r w:rsidRPr="000849C2">
        <w:rPr>
          <w:color w:val="000000"/>
        </w:rPr>
        <w:t xml:space="preserve">Cassiterite, columbite and tantalite from </w:t>
      </w:r>
      <w:r w:rsidR="00C50E4F">
        <w:rPr>
          <w:color w:val="000000"/>
        </w:rPr>
        <w:t xml:space="preserve">Okoloke,  </w:t>
      </w:r>
      <w:r w:rsidRPr="000849C2">
        <w:rPr>
          <w:color w:val="000000"/>
        </w:rPr>
        <w:t xml:space="preserve">Egbe are used for tin coating and </w:t>
      </w:r>
      <w:r w:rsidRPr="000849C2">
        <w:rPr>
          <w:color w:val="000000"/>
        </w:rPr>
        <w:br/>
        <w:t>alloys while talc and mica from Isanlu, Ogborun and Mopa could supply the raw materials for ceramics, paints and electrical equipment. Gold from Isanlu in Yagba East LGA, gems and ornamental stones from Lokoja, quartz from Okene, Okehi, Okoloke and Egbe and crude petroleum from Ibaji are other important minerals in the state.</w:t>
      </w:r>
    </w:p>
    <w:p w:rsidR="00A76322" w:rsidRPr="00DC3AA7" w:rsidRDefault="00A76322" w:rsidP="00A76322">
      <w:pPr>
        <w:pStyle w:val="Heading2"/>
      </w:pPr>
      <w:bookmarkStart w:id="48" w:name="_Toc340045252"/>
      <w:bookmarkStart w:id="49" w:name="_Toc340053641"/>
      <w:bookmarkStart w:id="50" w:name="_Toc454798307"/>
      <w:bookmarkStart w:id="51" w:name="_Toc79827013"/>
      <w:r>
        <w:t>Fiscal Update</w:t>
      </w:r>
      <w:bookmarkEnd w:id="48"/>
      <w:bookmarkEnd w:id="49"/>
      <w:bookmarkEnd w:id="50"/>
      <w:bookmarkEnd w:id="51"/>
    </w:p>
    <w:p w:rsidR="00A76322" w:rsidRDefault="00B342F6" w:rsidP="00A76322">
      <w:pPr>
        <w:pStyle w:val="Heading3"/>
        <w:numPr>
          <w:ilvl w:val="0"/>
          <w:numId w:val="0"/>
        </w:numPr>
      </w:pPr>
      <w:bookmarkStart w:id="52" w:name="_Toc340053643"/>
      <w:bookmarkStart w:id="53" w:name="_Toc79827014"/>
      <w:r>
        <w:t>2. B.1</w:t>
      </w:r>
      <w:r w:rsidR="00A76322">
        <w:tab/>
        <w:t>Historic Trends</w:t>
      </w:r>
      <w:bookmarkEnd w:id="52"/>
      <w:bookmarkEnd w:id="53"/>
    </w:p>
    <w:p w:rsidR="00A76322" w:rsidRPr="00A735A4" w:rsidRDefault="00A76322" w:rsidP="00A76322">
      <w:pPr>
        <w:pStyle w:val="Heading4"/>
      </w:pPr>
      <w:r>
        <w:t>Revenue Side</w:t>
      </w:r>
    </w:p>
    <w:p w:rsidR="00A76322" w:rsidRDefault="00A76322" w:rsidP="001D6B67">
      <w:pPr>
        <w:pStyle w:val="NumberedPara"/>
        <w:tabs>
          <w:tab w:val="clear" w:pos="1287"/>
          <w:tab w:val="num" w:pos="540"/>
        </w:tabs>
        <w:ind w:left="540" w:hanging="540"/>
      </w:pPr>
      <w:r>
        <w:t>On the revenue side, the document looks at Statutory Allocat</w:t>
      </w:r>
      <w:r w:rsidR="000A5003">
        <w:t>ion, VAT, IGR, Excess Crude/</w:t>
      </w:r>
      <w:r>
        <w:t>Capital Receipts – budget v</w:t>
      </w:r>
      <w:r w:rsidR="00684F06">
        <w:t>ersu</w:t>
      </w:r>
      <w:r w:rsidR="0092400E">
        <w:t>s actual for the perio</w:t>
      </w:r>
      <w:r w:rsidR="000E55F7">
        <w:t>d 2015-2021</w:t>
      </w:r>
      <w:r w:rsidR="00172D60">
        <w:t>.</w:t>
      </w:r>
    </w:p>
    <w:p w:rsidR="00A76322" w:rsidRPr="00267416" w:rsidRDefault="00683887" w:rsidP="00683887">
      <w:pPr>
        <w:pStyle w:val="Caption"/>
        <w:rPr>
          <w:rFonts w:ascii="Arial Black" w:hAnsi="Arial Black"/>
        </w:rPr>
      </w:pPr>
      <w:bookmarkStart w:id="54" w:name="_Toc79828552"/>
      <w:r w:rsidRPr="00267416">
        <w:rPr>
          <w:rFonts w:ascii="Arial Black" w:hAnsi="Arial Black"/>
        </w:rPr>
        <w:t xml:space="preserve">Figure </w:t>
      </w:r>
      <w:r w:rsidRPr="00267416">
        <w:rPr>
          <w:rFonts w:ascii="Arial Black" w:hAnsi="Arial Black"/>
        </w:rPr>
        <w:fldChar w:fldCharType="begin"/>
      </w:r>
      <w:r w:rsidRPr="00267416">
        <w:rPr>
          <w:rFonts w:ascii="Arial Black" w:hAnsi="Arial Black"/>
        </w:rPr>
        <w:instrText xml:space="preserve"> SEQ Figure \* ARABIC </w:instrText>
      </w:r>
      <w:r w:rsidRPr="00267416">
        <w:rPr>
          <w:rFonts w:ascii="Arial Black" w:hAnsi="Arial Black"/>
        </w:rPr>
        <w:fldChar w:fldCharType="separate"/>
      </w:r>
      <w:r w:rsidRPr="00267416">
        <w:rPr>
          <w:rFonts w:ascii="Arial Black" w:hAnsi="Arial Black"/>
          <w:noProof/>
        </w:rPr>
        <w:t>2</w:t>
      </w:r>
      <w:r w:rsidRPr="00267416">
        <w:rPr>
          <w:rFonts w:ascii="Arial Black" w:hAnsi="Arial Black"/>
        </w:rPr>
        <w:fldChar w:fldCharType="end"/>
      </w:r>
      <w:r w:rsidRPr="00267416">
        <w:rPr>
          <w:rFonts w:ascii="Arial Black" w:hAnsi="Arial Black"/>
        </w:rPr>
        <w:t>: Statutory Allocation</w:t>
      </w:r>
      <w:bookmarkEnd w:id="54"/>
    </w:p>
    <w:p w:rsidR="00A76322" w:rsidRPr="0028346B" w:rsidRDefault="00BF2BC7" w:rsidP="00EA6B7D">
      <w:pPr>
        <w:jc w:val="center"/>
      </w:pPr>
      <w:r w:rsidRPr="00BF2BC7">
        <w:rPr>
          <w:noProof/>
          <w:lang w:val="en-US" w:eastAsia="en-US"/>
        </w:rPr>
        <w:drawing>
          <wp:inline distT="0" distB="0" distL="0" distR="0">
            <wp:extent cx="5504815" cy="2660529"/>
            <wp:effectExtent l="0" t="0" r="635"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4815" cy="2660529"/>
                    </a:xfrm>
                    <a:prstGeom prst="rect">
                      <a:avLst/>
                    </a:prstGeom>
                    <a:noFill/>
                    <a:ln>
                      <a:noFill/>
                    </a:ln>
                  </pic:spPr>
                </pic:pic>
              </a:graphicData>
            </a:graphic>
          </wp:inline>
        </w:drawing>
      </w:r>
    </w:p>
    <w:p w:rsidR="00A76322" w:rsidRPr="00B342F6" w:rsidRDefault="0011373F" w:rsidP="00B342F6">
      <w:pPr>
        <w:pStyle w:val="NumberedPara"/>
        <w:tabs>
          <w:tab w:val="clear" w:pos="1287"/>
          <w:tab w:val="num" w:pos="540"/>
        </w:tabs>
        <w:ind w:left="540" w:hanging="540"/>
        <w:rPr>
          <w:color w:val="000000"/>
        </w:rPr>
      </w:pPr>
      <w:r w:rsidRPr="00B342F6">
        <w:rPr>
          <w:color w:val="000000"/>
        </w:rPr>
        <w:t>Statutory Allocation is a transfer from Federation Account that is distributed to all three tiers of government based on vertical (percentage to each of the three tiers) and horizontal (example equality, land mass, population) sharing formula.</w:t>
      </w:r>
    </w:p>
    <w:p w:rsidR="0011373F" w:rsidRPr="00B342F6" w:rsidRDefault="00C523A8" w:rsidP="00B342F6">
      <w:pPr>
        <w:pStyle w:val="NumberedPara"/>
        <w:tabs>
          <w:tab w:val="clear" w:pos="1287"/>
        </w:tabs>
        <w:ind w:left="540" w:hanging="540"/>
        <w:rPr>
          <w:color w:val="000000"/>
        </w:rPr>
      </w:pPr>
      <w:r w:rsidRPr="00B342F6">
        <w:rPr>
          <w:color w:val="000000"/>
        </w:rPr>
        <w:lastRenderedPageBreak/>
        <w:t xml:space="preserve">Performance against budget for the six years under review was </w:t>
      </w:r>
      <w:r w:rsidR="00DD4A91">
        <w:rPr>
          <w:color w:val="000000"/>
        </w:rPr>
        <w:t>fluctuating</w:t>
      </w:r>
      <w:r w:rsidRPr="00B342F6">
        <w:rPr>
          <w:color w:val="000000"/>
        </w:rPr>
        <w:t>.</w:t>
      </w:r>
      <w:r w:rsidR="00DD4A91">
        <w:rPr>
          <w:color w:val="000000"/>
        </w:rPr>
        <w:t xml:space="preserve"> It decreased from 2015 to 2016, increased from 2017 to 2018 and decreased from 2019 to 2020 </w:t>
      </w:r>
      <w:r w:rsidRPr="00B342F6">
        <w:rPr>
          <w:color w:val="000000"/>
        </w:rPr>
        <w:t xml:space="preserve"> </w:t>
      </w:r>
    </w:p>
    <w:p w:rsidR="00A76322" w:rsidRPr="00267416" w:rsidRDefault="00683887" w:rsidP="00683887">
      <w:pPr>
        <w:pStyle w:val="StyleCaptionCentered"/>
        <w:rPr>
          <w:rFonts w:ascii="Arial Black" w:hAnsi="Arial Black"/>
        </w:rPr>
      </w:pPr>
      <w:bookmarkStart w:id="55" w:name="_Toc79828553"/>
      <w:r w:rsidRPr="00267416">
        <w:rPr>
          <w:rFonts w:ascii="Arial Black" w:hAnsi="Arial Black"/>
        </w:rPr>
        <w:t xml:space="preserve">Figure </w:t>
      </w:r>
      <w:r w:rsidRPr="00267416">
        <w:rPr>
          <w:rFonts w:ascii="Arial Black" w:hAnsi="Arial Black"/>
        </w:rPr>
        <w:fldChar w:fldCharType="begin"/>
      </w:r>
      <w:r w:rsidRPr="00267416">
        <w:rPr>
          <w:rFonts w:ascii="Arial Black" w:hAnsi="Arial Black"/>
        </w:rPr>
        <w:instrText xml:space="preserve"> SEQ Figure \* ARABIC </w:instrText>
      </w:r>
      <w:r w:rsidRPr="00267416">
        <w:rPr>
          <w:rFonts w:ascii="Arial Black" w:hAnsi="Arial Black"/>
        </w:rPr>
        <w:fldChar w:fldCharType="separate"/>
      </w:r>
      <w:r w:rsidRPr="00267416">
        <w:rPr>
          <w:rFonts w:ascii="Arial Black" w:hAnsi="Arial Black"/>
          <w:noProof/>
        </w:rPr>
        <w:t>3</w:t>
      </w:r>
      <w:r w:rsidRPr="00267416">
        <w:rPr>
          <w:rFonts w:ascii="Arial Black" w:hAnsi="Arial Black"/>
        </w:rPr>
        <w:fldChar w:fldCharType="end"/>
      </w:r>
      <w:r w:rsidR="0029757C" w:rsidRPr="00267416">
        <w:rPr>
          <w:rFonts w:ascii="Arial Black" w:hAnsi="Arial Black"/>
        </w:rPr>
        <w:t>: VAT</w:t>
      </w:r>
      <w:bookmarkEnd w:id="55"/>
    </w:p>
    <w:p w:rsidR="00A76322" w:rsidRPr="0028346B" w:rsidRDefault="00BF2BC7" w:rsidP="00A76322">
      <w:pPr>
        <w:jc w:val="center"/>
      </w:pPr>
      <w:r w:rsidRPr="00BF2BC7">
        <w:rPr>
          <w:noProof/>
          <w:lang w:val="en-US" w:eastAsia="en-US"/>
        </w:rPr>
        <w:drawing>
          <wp:inline distT="0" distB="0" distL="0" distR="0">
            <wp:extent cx="5504815" cy="3033197"/>
            <wp:effectExtent l="0" t="0" r="63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04815" cy="3033197"/>
                    </a:xfrm>
                    <a:prstGeom prst="rect">
                      <a:avLst/>
                    </a:prstGeom>
                    <a:noFill/>
                    <a:ln>
                      <a:noFill/>
                    </a:ln>
                  </pic:spPr>
                </pic:pic>
              </a:graphicData>
            </a:graphic>
          </wp:inline>
        </w:drawing>
      </w:r>
    </w:p>
    <w:p w:rsidR="00A76322" w:rsidRPr="00757163" w:rsidRDefault="00D00240" w:rsidP="00757163">
      <w:pPr>
        <w:pStyle w:val="NumberedPara"/>
        <w:tabs>
          <w:tab w:val="clear" w:pos="1287"/>
        </w:tabs>
        <w:ind w:left="540" w:hanging="540"/>
        <w:rPr>
          <w:color w:val="000000"/>
        </w:rPr>
      </w:pPr>
      <w:r w:rsidRPr="00757163">
        <w:rPr>
          <w:color w:val="000000"/>
        </w:rPr>
        <w:t>VAT</w:t>
      </w:r>
      <w:r w:rsidR="004377DD">
        <w:rPr>
          <w:color w:val="000000"/>
        </w:rPr>
        <w:t xml:space="preserve"> </w:t>
      </w:r>
      <w:r w:rsidRPr="00757163">
        <w:rPr>
          <w:color w:val="000000"/>
        </w:rPr>
        <w:t xml:space="preserve">(Value Added Tax) is an ad-valorem tax applied to sales of almost all goods and services within the Nigerian economy.  The distribution to each </w:t>
      </w:r>
      <w:r w:rsidR="00DF2FD2" w:rsidRPr="00757163">
        <w:rPr>
          <w:color w:val="000000"/>
        </w:rPr>
        <w:t xml:space="preserve">State </w:t>
      </w:r>
      <w:r w:rsidRPr="00757163">
        <w:rPr>
          <w:color w:val="000000"/>
        </w:rPr>
        <w:t xml:space="preserve">is based on a set of criteria slightly different </w:t>
      </w:r>
      <w:r w:rsidR="00DF2FD2" w:rsidRPr="00757163">
        <w:rPr>
          <w:color w:val="000000"/>
        </w:rPr>
        <w:t xml:space="preserve">from </w:t>
      </w:r>
      <w:r w:rsidRPr="00757163">
        <w:rPr>
          <w:color w:val="000000"/>
        </w:rPr>
        <w:t>those used for Statutory Allocation.</w:t>
      </w:r>
    </w:p>
    <w:p w:rsidR="00A2595E" w:rsidRPr="002A4CE5" w:rsidRDefault="00E259CE" w:rsidP="002A4CE5">
      <w:pPr>
        <w:pStyle w:val="NumberedPara"/>
        <w:tabs>
          <w:tab w:val="clear" w:pos="1287"/>
          <w:tab w:val="num" w:pos="540"/>
        </w:tabs>
        <w:ind w:left="540" w:hanging="540"/>
        <w:rPr>
          <w:color w:val="000000"/>
        </w:rPr>
      </w:pPr>
      <w:r>
        <w:rPr>
          <w:color w:val="000000"/>
        </w:rPr>
        <w:t>The</w:t>
      </w:r>
      <w:r w:rsidR="007C33D4">
        <w:rPr>
          <w:color w:val="000000"/>
        </w:rPr>
        <w:t xml:space="preserve"> performance kept on increase</w:t>
      </w:r>
      <w:r w:rsidR="00973A5E" w:rsidRPr="002A4CE5">
        <w:rPr>
          <w:color w:val="000000"/>
        </w:rPr>
        <w:t xml:space="preserve"> th</w:t>
      </w:r>
      <w:r>
        <w:rPr>
          <w:color w:val="000000"/>
        </w:rPr>
        <w:t>roughout the years under review.</w:t>
      </w:r>
    </w:p>
    <w:p w:rsidR="00A76322" w:rsidRPr="00267416" w:rsidRDefault="00683887" w:rsidP="00A2595E">
      <w:pPr>
        <w:pStyle w:val="NumberedPara"/>
        <w:numPr>
          <w:ilvl w:val="0"/>
          <w:numId w:val="0"/>
        </w:numPr>
        <w:ind w:left="540"/>
        <w:jc w:val="center"/>
        <w:rPr>
          <w:rFonts w:ascii="Arial Black" w:hAnsi="Arial Black"/>
        </w:rPr>
      </w:pPr>
      <w:bookmarkStart w:id="56" w:name="_Toc79828554"/>
      <w:r w:rsidRPr="00267416">
        <w:rPr>
          <w:rFonts w:ascii="Arial Black" w:hAnsi="Arial Black"/>
          <w:b/>
          <w:bCs/>
        </w:rPr>
        <w:t xml:space="preserve">Figure </w:t>
      </w:r>
      <w:r w:rsidRPr="00267416">
        <w:rPr>
          <w:rFonts w:ascii="Arial Black" w:hAnsi="Arial Black"/>
          <w:b/>
          <w:bCs/>
        </w:rPr>
        <w:fldChar w:fldCharType="begin"/>
      </w:r>
      <w:r w:rsidRPr="00267416">
        <w:rPr>
          <w:rFonts w:ascii="Arial Black" w:hAnsi="Arial Black"/>
          <w:b/>
          <w:bCs/>
        </w:rPr>
        <w:instrText xml:space="preserve"> SEQ Figure \* ARABIC </w:instrText>
      </w:r>
      <w:r w:rsidRPr="00267416">
        <w:rPr>
          <w:rFonts w:ascii="Arial Black" w:hAnsi="Arial Black"/>
          <w:b/>
          <w:bCs/>
        </w:rPr>
        <w:fldChar w:fldCharType="separate"/>
      </w:r>
      <w:r w:rsidR="00793B52" w:rsidRPr="00267416">
        <w:rPr>
          <w:rFonts w:ascii="Arial Black" w:hAnsi="Arial Black"/>
          <w:b/>
          <w:bCs/>
          <w:noProof/>
        </w:rPr>
        <w:t>4</w:t>
      </w:r>
      <w:r w:rsidRPr="00267416">
        <w:rPr>
          <w:rFonts w:ascii="Arial Black" w:hAnsi="Arial Black"/>
          <w:b/>
          <w:bCs/>
        </w:rPr>
        <w:fldChar w:fldCharType="end"/>
      </w:r>
      <w:r w:rsidRPr="00267416">
        <w:rPr>
          <w:rFonts w:ascii="Arial Black" w:hAnsi="Arial Black"/>
          <w:b/>
          <w:bCs/>
        </w:rPr>
        <w:t>:</w:t>
      </w:r>
      <w:r w:rsidR="00D84E9E" w:rsidRPr="00267416">
        <w:rPr>
          <w:rFonts w:ascii="Arial Black" w:hAnsi="Arial Black"/>
        </w:rPr>
        <w:t xml:space="preserve"> Excess Crude/Other FA</w:t>
      </w:r>
      <w:r w:rsidR="002A4CE5" w:rsidRPr="00267416">
        <w:rPr>
          <w:rFonts w:ascii="Arial Black" w:hAnsi="Arial Black"/>
        </w:rPr>
        <w:t xml:space="preserve"> Receipts.</w:t>
      </w:r>
      <w:bookmarkEnd w:id="56"/>
    </w:p>
    <w:p w:rsidR="00A76322" w:rsidRDefault="00BF2BC7" w:rsidP="00A76322">
      <w:pPr>
        <w:jc w:val="center"/>
      </w:pPr>
      <w:r w:rsidRPr="00BF2BC7">
        <w:rPr>
          <w:noProof/>
          <w:lang w:val="en-US" w:eastAsia="en-US"/>
        </w:rPr>
        <w:drawing>
          <wp:inline distT="0" distB="0" distL="0" distR="0">
            <wp:extent cx="5504815" cy="3030468"/>
            <wp:effectExtent l="0" t="0" r="63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4815" cy="3030468"/>
                    </a:xfrm>
                    <a:prstGeom prst="rect">
                      <a:avLst/>
                    </a:prstGeom>
                    <a:noFill/>
                    <a:ln>
                      <a:noFill/>
                    </a:ln>
                  </pic:spPr>
                </pic:pic>
              </a:graphicData>
            </a:graphic>
          </wp:inline>
        </w:drawing>
      </w:r>
    </w:p>
    <w:p w:rsidR="00A76322" w:rsidRPr="005A3E1F" w:rsidRDefault="00253BF2" w:rsidP="005A3E1F">
      <w:pPr>
        <w:pStyle w:val="NumberedPara"/>
        <w:tabs>
          <w:tab w:val="clear" w:pos="1287"/>
          <w:tab w:val="num" w:pos="540"/>
        </w:tabs>
        <w:ind w:left="540" w:hanging="540"/>
        <w:rPr>
          <w:color w:val="000000"/>
        </w:rPr>
      </w:pPr>
      <w:r w:rsidRPr="005A3E1F">
        <w:rPr>
          <w:color w:val="000000"/>
        </w:rPr>
        <w:t>Excess crude</w:t>
      </w:r>
      <w:r w:rsidR="007F0E01" w:rsidRPr="005A3E1F">
        <w:rPr>
          <w:color w:val="000000"/>
        </w:rPr>
        <w:t xml:space="preserve"> receipt</w:t>
      </w:r>
      <w:r w:rsidRPr="005A3E1F">
        <w:rPr>
          <w:color w:val="000000"/>
        </w:rPr>
        <w:t xml:space="preserve"> is distributed from the Federation Account based on Mineral Revenue receipts above the </w:t>
      </w:r>
      <w:r w:rsidR="00DF2FD2" w:rsidRPr="005A3E1F">
        <w:rPr>
          <w:color w:val="000000"/>
        </w:rPr>
        <w:t xml:space="preserve">oil </w:t>
      </w:r>
      <w:r w:rsidRPr="005A3E1F">
        <w:rPr>
          <w:color w:val="000000"/>
        </w:rPr>
        <w:t>benchmark price, production and exchange rate</w:t>
      </w:r>
      <w:r w:rsidR="005A3E1F" w:rsidRPr="005A3E1F">
        <w:rPr>
          <w:color w:val="000000"/>
        </w:rPr>
        <w:t>, it includes</w:t>
      </w:r>
      <w:r w:rsidR="00D736C3" w:rsidRPr="005A3E1F">
        <w:rPr>
          <w:color w:val="000000"/>
        </w:rPr>
        <w:t xml:space="preserve"> exchange gains, refunds from NNPC and FIRS, and augmentation.  It is generated when actual crude oil price, production and NGN:</w:t>
      </w:r>
      <w:r w:rsidR="00C50E4F">
        <w:rPr>
          <w:color w:val="000000"/>
        </w:rPr>
        <w:t xml:space="preserve"> </w:t>
      </w:r>
      <w:r w:rsidR="00D736C3" w:rsidRPr="005A3E1F">
        <w:rPr>
          <w:color w:val="000000"/>
        </w:rPr>
        <w:t xml:space="preserve">USD exchange rates </w:t>
      </w:r>
      <w:r w:rsidR="00D736C3" w:rsidRPr="005A3E1F">
        <w:rPr>
          <w:color w:val="000000"/>
        </w:rPr>
        <w:lastRenderedPageBreak/>
        <w:t>exceed the benchmarks and hence excess revenue is generated.</w:t>
      </w:r>
      <w:r w:rsidRPr="005A3E1F">
        <w:rPr>
          <w:color w:val="000000"/>
        </w:rPr>
        <w:t xml:space="preserve"> It is shared </w:t>
      </w:r>
      <w:r w:rsidR="005413B7" w:rsidRPr="00B806CF">
        <w:t>among</w:t>
      </w:r>
      <w:r w:rsidRPr="005A3E1F">
        <w:rPr>
          <w:color w:val="000000"/>
        </w:rPr>
        <w:t xml:space="preserve"> the three tiers </w:t>
      </w:r>
      <w:r w:rsidR="00DF2FD2" w:rsidRPr="005A3E1F">
        <w:rPr>
          <w:color w:val="000000"/>
        </w:rPr>
        <w:t xml:space="preserve">of government </w:t>
      </w:r>
      <w:r w:rsidRPr="005A3E1F">
        <w:rPr>
          <w:color w:val="000000"/>
        </w:rPr>
        <w:t>using the same formulas as Statutory Allocation.  The timing and level of Excess Crude distribution is very difficult to predict.</w:t>
      </w:r>
    </w:p>
    <w:p w:rsidR="00253BF2" w:rsidRPr="003A2E77" w:rsidRDefault="00253BF2" w:rsidP="003A2E77">
      <w:pPr>
        <w:pStyle w:val="NumberedPara"/>
        <w:tabs>
          <w:tab w:val="clear" w:pos="1287"/>
          <w:tab w:val="num" w:pos="540"/>
        </w:tabs>
        <w:ind w:left="540" w:hanging="540"/>
        <w:rPr>
          <w:color w:val="000000"/>
        </w:rPr>
      </w:pPr>
      <w:r w:rsidRPr="003A2E77">
        <w:rPr>
          <w:color w:val="000000"/>
        </w:rPr>
        <w:t xml:space="preserve">Due to unpredictable nature of the excess crude oil revenue, the </w:t>
      </w:r>
      <w:r w:rsidR="00097D95">
        <w:rPr>
          <w:color w:val="000000"/>
        </w:rPr>
        <w:t>actual performance has been irregular</w:t>
      </w:r>
      <w:r w:rsidR="007C33D4">
        <w:rPr>
          <w:color w:val="000000"/>
        </w:rPr>
        <w:t>.</w:t>
      </w:r>
    </w:p>
    <w:p w:rsidR="00A76322" w:rsidRPr="00267416" w:rsidRDefault="00793B52" w:rsidP="00A76322">
      <w:pPr>
        <w:pStyle w:val="StyleCaptionCentered"/>
        <w:rPr>
          <w:rFonts w:ascii="Arial Black" w:hAnsi="Arial Black"/>
        </w:rPr>
      </w:pPr>
      <w:bookmarkStart w:id="57" w:name="_Toc79828555"/>
      <w:r w:rsidRPr="00267416">
        <w:rPr>
          <w:rFonts w:ascii="Arial Black" w:hAnsi="Arial Black"/>
        </w:rPr>
        <w:t xml:space="preserve">Figure </w:t>
      </w:r>
      <w:r w:rsidRPr="00267416">
        <w:rPr>
          <w:rFonts w:ascii="Arial Black" w:hAnsi="Arial Black"/>
        </w:rPr>
        <w:fldChar w:fldCharType="begin"/>
      </w:r>
      <w:r w:rsidRPr="00267416">
        <w:rPr>
          <w:rFonts w:ascii="Arial Black" w:hAnsi="Arial Black"/>
        </w:rPr>
        <w:instrText xml:space="preserve"> SEQ Figure \* ARABIC </w:instrText>
      </w:r>
      <w:r w:rsidRPr="00267416">
        <w:rPr>
          <w:rFonts w:ascii="Arial Black" w:hAnsi="Arial Black"/>
        </w:rPr>
        <w:fldChar w:fldCharType="separate"/>
      </w:r>
      <w:r w:rsidRPr="00267416">
        <w:rPr>
          <w:rFonts w:ascii="Arial Black" w:hAnsi="Arial Black"/>
          <w:noProof/>
        </w:rPr>
        <w:t>5</w:t>
      </w:r>
      <w:r w:rsidRPr="00267416">
        <w:rPr>
          <w:rFonts w:ascii="Arial Black" w:hAnsi="Arial Black"/>
        </w:rPr>
        <w:fldChar w:fldCharType="end"/>
      </w:r>
      <w:r w:rsidRPr="00267416">
        <w:rPr>
          <w:rFonts w:ascii="Arial Black" w:hAnsi="Arial Black"/>
        </w:rPr>
        <w:t>:</w:t>
      </w:r>
      <w:r w:rsidR="00A76322" w:rsidRPr="00267416">
        <w:rPr>
          <w:rFonts w:ascii="Arial Black" w:hAnsi="Arial Black"/>
        </w:rPr>
        <w:t xml:space="preserve"> IGR</w:t>
      </w:r>
      <w:bookmarkEnd w:id="57"/>
    </w:p>
    <w:p w:rsidR="00A76322" w:rsidRPr="0050403A" w:rsidRDefault="00BF2BC7" w:rsidP="00A76322">
      <w:pPr>
        <w:jc w:val="center"/>
      </w:pPr>
      <w:r w:rsidRPr="00BF2BC7">
        <w:rPr>
          <w:noProof/>
          <w:lang w:val="en-US" w:eastAsia="en-US"/>
        </w:rPr>
        <w:drawing>
          <wp:inline distT="0" distB="0" distL="0" distR="0">
            <wp:extent cx="5504815" cy="3033197"/>
            <wp:effectExtent l="0" t="0" r="63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04815" cy="3033197"/>
                    </a:xfrm>
                    <a:prstGeom prst="rect">
                      <a:avLst/>
                    </a:prstGeom>
                    <a:noFill/>
                    <a:ln>
                      <a:noFill/>
                    </a:ln>
                  </pic:spPr>
                </pic:pic>
              </a:graphicData>
            </a:graphic>
          </wp:inline>
        </w:drawing>
      </w:r>
    </w:p>
    <w:p w:rsidR="00A76322" w:rsidRPr="00AB299C" w:rsidRDefault="00D736C3" w:rsidP="00AB299C">
      <w:pPr>
        <w:pStyle w:val="NumberedPara"/>
        <w:tabs>
          <w:tab w:val="clear" w:pos="1287"/>
          <w:tab w:val="num" w:pos="540"/>
        </w:tabs>
        <w:ind w:left="540" w:hanging="540"/>
        <w:rPr>
          <w:color w:val="000000"/>
        </w:rPr>
      </w:pPr>
      <w:r w:rsidRPr="00AB299C">
        <w:rPr>
          <w:color w:val="000000"/>
        </w:rPr>
        <w:t>IGR</w:t>
      </w:r>
      <w:r w:rsidR="00260180">
        <w:rPr>
          <w:color w:val="000000"/>
        </w:rPr>
        <w:t xml:space="preserve"> </w:t>
      </w:r>
      <w:r w:rsidRPr="00AB299C">
        <w:rPr>
          <w:color w:val="000000"/>
        </w:rPr>
        <w:t>(Internally Generated Revenue) is revenue collected within Kogi</w:t>
      </w:r>
      <w:r w:rsidR="00B806CF">
        <w:rPr>
          <w:color w:val="000000"/>
        </w:rPr>
        <w:t xml:space="preserve"> </w:t>
      </w:r>
      <w:r w:rsidR="00DF2FD2" w:rsidRPr="00AB299C">
        <w:rPr>
          <w:color w:val="000000"/>
        </w:rPr>
        <w:t xml:space="preserve">State relating </w:t>
      </w:r>
      <w:r w:rsidRPr="00AB299C">
        <w:rPr>
          <w:color w:val="000000"/>
        </w:rPr>
        <w:t>to income tax</w:t>
      </w:r>
      <w:r w:rsidR="00DF2FD2" w:rsidRPr="00AB299C">
        <w:rPr>
          <w:color w:val="000000"/>
        </w:rPr>
        <w:t xml:space="preserve"> (company and individual</w:t>
      </w:r>
      <w:r w:rsidR="000F2867" w:rsidRPr="00AB299C">
        <w:rPr>
          <w:color w:val="000000"/>
        </w:rPr>
        <w:t>s</w:t>
      </w:r>
      <w:r w:rsidR="00DF2FD2" w:rsidRPr="00AB299C">
        <w:rPr>
          <w:color w:val="000000"/>
        </w:rPr>
        <w:t xml:space="preserve"> including Pay As You Earn (PAYE)</w:t>
      </w:r>
      <w:r w:rsidRPr="00AB299C">
        <w:rPr>
          <w:color w:val="000000"/>
        </w:rPr>
        <w:t xml:space="preserve">, fines, levies, fees and other sources of revenue within the </w:t>
      </w:r>
      <w:r w:rsidR="00DF2FD2" w:rsidRPr="00AB299C">
        <w:rPr>
          <w:color w:val="000000"/>
        </w:rPr>
        <w:t>State</w:t>
      </w:r>
      <w:r w:rsidRPr="00AB299C">
        <w:rPr>
          <w:color w:val="000000"/>
        </w:rPr>
        <w:t>.</w:t>
      </w:r>
      <w:r w:rsidR="000F2867" w:rsidRPr="00AB299C">
        <w:rPr>
          <w:color w:val="000000"/>
        </w:rPr>
        <w:t xml:space="preserve"> Pay As You Earn represents the highest contri</w:t>
      </w:r>
      <w:r w:rsidR="006806F3">
        <w:rPr>
          <w:color w:val="000000"/>
        </w:rPr>
        <w:t>butor to IGR.</w:t>
      </w:r>
    </w:p>
    <w:p w:rsidR="00D736C3" w:rsidRPr="00297627" w:rsidRDefault="00097D95" w:rsidP="00AB299C">
      <w:pPr>
        <w:pStyle w:val="NumberedPara"/>
        <w:tabs>
          <w:tab w:val="clear" w:pos="1287"/>
          <w:tab w:val="num" w:pos="540"/>
        </w:tabs>
        <w:ind w:left="540" w:hanging="540"/>
        <w:rPr>
          <w:color w:val="000000"/>
        </w:rPr>
      </w:pPr>
      <w:r>
        <w:rPr>
          <w:color w:val="000000"/>
        </w:rPr>
        <w:t>IGR</w:t>
      </w:r>
      <w:r w:rsidR="007C33D4">
        <w:rPr>
          <w:color w:val="000000"/>
        </w:rPr>
        <w:t xml:space="preserve"> performance kept on increasing</w:t>
      </w:r>
      <w:r w:rsidR="007C33D4" w:rsidRPr="002A4CE5">
        <w:rPr>
          <w:color w:val="000000"/>
        </w:rPr>
        <w:t xml:space="preserve"> th</w:t>
      </w:r>
      <w:r w:rsidR="007C33D4">
        <w:rPr>
          <w:color w:val="000000"/>
        </w:rPr>
        <w:t>roughout the years under review except 2018 that experience slight decreased</w:t>
      </w:r>
      <w:r>
        <w:rPr>
          <w:color w:val="000000"/>
        </w:rPr>
        <w:t>.</w:t>
      </w:r>
    </w:p>
    <w:p w:rsidR="00A76322" w:rsidRPr="00267416" w:rsidRDefault="00793B52" w:rsidP="00A76322">
      <w:pPr>
        <w:pStyle w:val="StyleCaptionCentered"/>
        <w:rPr>
          <w:rFonts w:ascii="Arial Black" w:hAnsi="Arial Black"/>
        </w:rPr>
      </w:pPr>
      <w:bookmarkStart w:id="58" w:name="_Toc79828556"/>
      <w:r w:rsidRPr="00267416">
        <w:rPr>
          <w:rFonts w:ascii="Arial Black" w:hAnsi="Arial Black"/>
        </w:rPr>
        <w:t xml:space="preserve">Figure </w:t>
      </w:r>
      <w:r w:rsidRPr="00267416">
        <w:rPr>
          <w:rFonts w:ascii="Arial Black" w:hAnsi="Arial Black"/>
        </w:rPr>
        <w:fldChar w:fldCharType="begin"/>
      </w:r>
      <w:r w:rsidRPr="00267416">
        <w:rPr>
          <w:rFonts w:ascii="Arial Black" w:hAnsi="Arial Black"/>
        </w:rPr>
        <w:instrText xml:space="preserve"> SEQ Figure \* ARABIC </w:instrText>
      </w:r>
      <w:r w:rsidRPr="00267416">
        <w:rPr>
          <w:rFonts w:ascii="Arial Black" w:hAnsi="Arial Black"/>
        </w:rPr>
        <w:fldChar w:fldCharType="separate"/>
      </w:r>
      <w:r w:rsidRPr="00267416">
        <w:rPr>
          <w:rFonts w:ascii="Arial Black" w:hAnsi="Arial Black"/>
          <w:noProof/>
        </w:rPr>
        <w:t>6</w:t>
      </w:r>
      <w:r w:rsidRPr="00267416">
        <w:rPr>
          <w:rFonts w:ascii="Arial Black" w:hAnsi="Arial Black"/>
        </w:rPr>
        <w:fldChar w:fldCharType="end"/>
      </w:r>
      <w:r w:rsidRPr="00267416">
        <w:rPr>
          <w:rFonts w:ascii="Arial Black" w:hAnsi="Arial Black"/>
        </w:rPr>
        <w:t>:</w:t>
      </w:r>
      <w:r w:rsidR="00A76322" w:rsidRPr="00267416">
        <w:rPr>
          <w:rFonts w:ascii="Arial Black" w:hAnsi="Arial Black"/>
        </w:rPr>
        <w:t xml:space="preserve"> Grants</w:t>
      </w:r>
      <w:bookmarkEnd w:id="58"/>
    </w:p>
    <w:p w:rsidR="00A76322" w:rsidRPr="0050403A" w:rsidRDefault="00E36A25" w:rsidP="00A76322">
      <w:pPr>
        <w:jc w:val="center"/>
      </w:pPr>
      <w:r w:rsidRPr="00E36A25">
        <w:rPr>
          <w:noProof/>
          <w:lang w:val="en-US" w:eastAsia="en-US"/>
        </w:rPr>
        <w:drawing>
          <wp:inline distT="0" distB="0" distL="0" distR="0">
            <wp:extent cx="5504815" cy="3033811"/>
            <wp:effectExtent l="0" t="0" r="63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04815" cy="3033811"/>
                    </a:xfrm>
                    <a:prstGeom prst="rect">
                      <a:avLst/>
                    </a:prstGeom>
                    <a:noFill/>
                    <a:ln>
                      <a:noFill/>
                    </a:ln>
                  </pic:spPr>
                </pic:pic>
              </a:graphicData>
            </a:graphic>
          </wp:inline>
        </w:drawing>
      </w:r>
    </w:p>
    <w:p w:rsidR="005B5ED3" w:rsidRPr="009C13AB" w:rsidRDefault="00856A24" w:rsidP="009C13AB">
      <w:pPr>
        <w:pStyle w:val="NumberedPara"/>
        <w:tabs>
          <w:tab w:val="clear" w:pos="1287"/>
          <w:tab w:val="num" w:pos="540"/>
        </w:tabs>
        <w:ind w:left="540" w:hanging="540"/>
        <w:rPr>
          <w:color w:val="000000"/>
        </w:rPr>
      </w:pPr>
      <w:r w:rsidRPr="009C13AB">
        <w:rPr>
          <w:color w:val="000000"/>
        </w:rPr>
        <w:lastRenderedPageBreak/>
        <w:t xml:space="preserve">Grants are receipts from </w:t>
      </w:r>
      <w:r w:rsidR="00B03D8B">
        <w:rPr>
          <w:color w:val="000000"/>
        </w:rPr>
        <w:t>F</w:t>
      </w:r>
      <w:r w:rsidRPr="009C13AB">
        <w:rPr>
          <w:color w:val="000000"/>
        </w:rPr>
        <w:t xml:space="preserve">ederal </w:t>
      </w:r>
      <w:r w:rsidR="00B03D8B">
        <w:rPr>
          <w:color w:val="000000"/>
        </w:rPr>
        <w:t>G</w:t>
      </w:r>
      <w:r w:rsidRPr="009C13AB">
        <w:rPr>
          <w:color w:val="000000"/>
        </w:rPr>
        <w:t xml:space="preserve">overnment and </w:t>
      </w:r>
      <w:r w:rsidR="00B03D8B">
        <w:rPr>
          <w:color w:val="000000"/>
        </w:rPr>
        <w:t>L</w:t>
      </w:r>
      <w:r w:rsidRPr="009C13AB">
        <w:rPr>
          <w:color w:val="000000"/>
        </w:rPr>
        <w:t xml:space="preserve">ocal </w:t>
      </w:r>
      <w:r w:rsidR="00B03D8B">
        <w:rPr>
          <w:color w:val="000000"/>
        </w:rPr>
        <w:t>G</w:t>
      </w:r>
      <w:r w:rsidRPr="009C13AB">
        <w:rPr>
          <w:color w:val="000000"/>
        </w:rPr>
        <w:t xml:space="preserve">overnments such as Federal Government </w:t>
      </w:r>
      <w:r w:rsidR="009C13AB" w:rsidRPr="009C13AB">
        <w:rPr>
          <w:color w:val="000000"/>
        </w:rPr>
        <w:t>Sustainable</w:t>
      </w:r>
      <w:r w:rsidR="000F2867" w:rsidRPr="009C13AB">
        <w:rPr>
          <w:color w:val="000000"/>
        </w:rPr>
        <w:t xml:space="preserve"> Development Goals (</w:t>
      </w:r>
      <w:r w:rsidR="009C13AB" w:rsidRPr="009C13AB">
        <w:rPr>
          <w:color w:val="000000"/>
        </w:rPr>
        <w:t>S</w:t>
      </w:r>
      <w:r w:rsidRPr="009C13AB">
        <w:rPr>
          <w:color w:val="000000"/>
        </w:rPr>
        <w:t>DGs</w:t>
      </w:r>
      <w:r w:rsidR="000F2867" w:rsidRPr="009C13AB">
        <w:rPr>
          <w:color w:val="000000"/>
        </w:rPr>
        <w:t>)</w:t>
      </w:r>
      <w:r w:rsidRPr="009C13AB">
        <w:rPr>
          <w:color w:val="000000"/>
        </w:rPr>
        <w:t xml:space="preserve"> Conditional Grants Scheme, as well as grants from the international development partners (including UK - Department for International Development (DFID), European Union (EU)</w:t>
      </w:r>
      <w:r w:rsidR="000F2867" w:rsidRPr="009C13AB">
        <w:rPr>
          <w:color w:val="000000"/>
        </w:rPr>
        <w:t>,</w:t>
      </w:r>
      <w:r w:rsidRPr="009C13AB">
        <w:rPr>
          <w:color w:val="000000"/>
        </w:rPr>
        <w:t xml:space="preserve"> United Nations Children’s Fund (UNICEF)</w:t>
      </w:r>
      <w:r w:rsidR="000F2867" w:rsidRPr="009C13AB">
        <w:rPr>
          <w:color w:val="000000"/>
        </w:rPr>
        <w:t>, and the World Bank</w:t>
      </w:r>
      <w:r w:rsidRPr="009C13AB">
        <w:rPr>
          <w:color w:val="000000"/>
        </w:rPr>
        <w:t>.</w:t>
      </w:r>
      <w:r w:rsidR="007C33D4">
        <w:rPr>
          <w:color w:val="000000"/>
        </w:rPr>
        <w:t xml:space="preserve"> The receipt</w:t>
      </w:r>
      <w:r w:rsidR="007411E1">
        <w:rPr>
          <w:color w:val="000000"/>
        </w:rPr>
        <w:t xml:space="preserve"> or performance</w:t>
      </w:r>
      <w:r w:rsidR="007C33D4">
        <w:rPr>
          <w:color w:val="000000"/>
        </w:rPr>
        <w:t xml:space="preserve"> has been irregular to the extent that 2019 experienced nil collection</w:t>
      </w:r>
      <w:r w:rsidR="00A842CD">
        <w:rPr>
          <w:color w:val="000000"/>
        </w:rPr>
        <w:t>.</w:t>
      </w:r>
    </w:p>
    <w:p w:rsidR="005B5ED3" w:rsidRPr="009C13AB" w:rsidRDefault="005B5ED3" w:rsidP="00BD40AA">
      <w:pPr>
        <w:pStyle w:val="NumberedPara"/>
        <w:tabs>
          <w:tab w:val="clear" w:pos="1287"/>
          <w:tab w:val="num" w:pos="540"/>
        </w:tabs>
        <w:ind w:left="540" w:hanging="540"/>
        <w:rPr>
          <w:color w:val="000000"/>
        </w:rPr>
      </w:pPr>
      <w:r w:rsidRPr="009C13AB">
        <w:rPr>
          <w:color w:val="000000"/>
        </w:rPr>
        <w:t xml:space="preserve">Grant estimates going forward should be consistent with signed </w:t>
      </w:r>
      <w:r w:rsidR="00801096" w:rsidRPr="009C13AB">
        <w:rPr>
          <w:color w:val="000000"/>
        </w:rPr>
        <w:t>agreements;</w:t>
      </w:r>
      <w:r w:rsidRPr="009C13AB">
        <w:rPr>
          <w:color w:val="000000"/>
        </w:rPr>
        <w:t xml:space="preserve"> any “blue-sky” should be specifically linked to the implementation of specific projects.</w:t>
      </w:r>
    </w:p>
    <w:p w:rsidR="00A76322" w:rsidRPr="00267416" w:rsidRDefault="00D17C85" w:rsidP="00793B52">
      <w:pPr>
        <w:pStyle w:val="StyleCaptionCentered"/>
        <w:rPr>
          <w:rFonts w:ascii="Arial Black" w:hAnsi="Arial Black"/>
        </w:rPr>
      </w:pPr>
      <w:bookmarkStart w:id="59" w:name="_Toc79828557"/>
      <w:r w:rsidRPr="00267416">
        <w:rPr>
          <w:rFonts w:ascii="Arial Black" w:hAnsi="Arial Black"/>
        </w:rPr>
        <w:t>Figure</w:t>
      </w:r>
      <w:r w:rsidR="009B3CAF" w:rsidRPr="00267416">
        <w:rPr>
          <w:rFonts w:ascii="Arial Black" w:hAnsi="Arial Black"/>
        </w:rPr>
        <w:t xml:space="preserve"> </w:t>
      </w:r>
      <w:r w:rsidR="00793B52" w:rsidRPr="00267416">
        <w:rPr>
          <w:rFonts w:ascii="Arial Black" w:hAnsi="Arial Black"/>
        </w:rPr>
        <w:fldChar w:fldCharType="begin"/>
      </w:r>
      <w:r w:rsidR="00793B52" w:rsidRPr="00267416">
        <w:rPr>
          <w:rFonts w:ascii="Arial Black" w:hAnsi="Arial Black"/>
        </w:rPr>
        <w:instrText xml:space="preserve"> SEQ Figure \* ARABIC </w:instrText>
      </w:r>
      <w:r w:rsidR="00793B52" w:rsidRPr="00267416">
        <w:rPr>
          <w:rFonts w:ascii="Arial Black" w:hAnsi="Arial Black"/>
        </w:rPr>
        <w:fldChar w:fldCharType="separate"/>
      </w:r>
      <w:r w:rsidR="00793B52" w:rsidRPr="00267416">
        <w:rPr>
          <w:rFonts w:ascii="Arial Black" w:hAnsi="Arial Black"/>
          <w:noProof/>
        </w:rPr>
        <w:t>7</w:t>
      </w:r>
      <w:r w:rsidR="00793B52" w:rsidRPr="00267416">
        <w:rPr>
          <w:rFonts w:ascii="Arial Black" w:hAnsi="Arial Black"/>
        </w:rPr>
        <w:fldChar w:fldCharType="end"/>
      </w:r>
      <w:r w:rsidR="00793B52" w:rsidRPr="00267416">
        <w:rPr>
          <w:rFonts w:ascii="Arial Black" w:hAnsi="Arial Black"/>
        </w:rPr>
        <w:t>:</w:t>
      </w:r>
      <w:r w:rsidR="00A76322" w:rsidRPr="00267416">
        <w:rPr>
          <w:rFonts w:ascii="Arial Black" w:hAnsi="Arial Black"/>
        </w:rPr>
        <w:t xml:space="preserve"> Loans / Financing</w:t>
      </w:r>
      <w:bookmarkEnd w:id="59"/>
    </w:p>
    <w:p w:rsidR="00A76322" w:rsidRPr="0050403A" w:rsidRDefault="00E36A25" w:rsidP="00A76322">
      <w:pPr>
        <w:jc w:val="center"/>
      </w:pPr>
      <w:r w:rsidRPr="00E36A25">
        <w:rPr>
          <w:noProof/>
          <w:lang w:val="en-US" w:eastAsia="en-US"/>
        </w:rPr>
        <w:drawing>
          <wp:inline distT="0" distB="0" distL="0" distR="0">
            <wp:extent cx="5504815" cy="3033197"/>
            <wp:effectExtent l="0" t="0" r="63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04815" cy="3033197"/>
                    </a:xfrm>
                    <a:prstGeom prst="rect">
                      <a:avLst/>
                    </a:prstGeom>
                    <a:noFill/>
                    <a:ln>
                      <a:noFill/>
                    </a:ln>
                  </pic:spPr>
                </pic:pic>
              </a:graphicData>
            </a:graphic>
          </wp:inline>
        </w:drawing>
      </w:r>
    </w:p>
    <w:p w:rsidR="00914128" w:rsidRPr="009C13AB" w:rsidRDefault="00914128" w:rsidP="009C13AB">
      <w:pPr>
        <w:pStyle w:val="NumberedPara"/>
        <w:tabs>
          <w:tab w:val="clear" w:pos="1287"/>
          <w:tab w:val="num" w:pos="540"/>
        </w:tabs>
        <w:ind w:left="540" w:hanging="540"/>
        <w:rPr>
          <w:color w:val="000000"/>
        </w:rPr>
      </w:pPr>
      <w:r w:rsidRPr="009C13AB">
        <w:rPr>
          <w:color w:val="000000"/>
        </w:rPr>
        <w:t xml:space="preserve">Loans in this context are referred to as internal loans (commercial bank loans, loans from local capital markets, loans from individuals, etc) and external loans </w:t>
      </w:r>
      <w:r w:rsidR="000F2867" w:rsidRPr="009C13AB">
        <w:rPr>
          <w:color w:val="000000"/>
        </w:rPr>
        <w:t xml:space="preserve">are </w:t>
      </w:r>
      <w:r w:rsidRPr="009C13AB">
        <w:rPr>
          <w:color w:val="000000"/>
        </w:rPr>
        <w:t>loans that are largely drawn from the development partners such as the World Bank, IFAD, AfDB, etc.</w:t>
      </w:r>
    </w:p>
    <w:p w:rsidR="00715A7D" w:rsidRPr="00772B68" w:rsidRDefault="00772B68" w:rsidP="00772B68">
      <w:pPr>
        <w:pStyle w:val="NumberedPara"/>
        <w:tabs>
          <w:tab w:val="clear" w:pos="1287"/>
          <w:tab w:val="num" w:pos="540"/>
        </w:tabs>
        <w:ind w:left="540" w:hanging="540"/>
        <w:rPr>
          <w:color w:val="000000"/>
        </w:rPr>
      </w:pPr>
      <w:r>
        <w:rPr>
          <w:color w:val="000000"/>
        </w:rPr>
        <w:t>The receipt or performance has been irregular to the extent that 2020 experienced nil collection</w:t>
      </w:r>
      <w:r w:rsidR="00715A7D" w:rsidRPr="009C13AB">
        <w:rPr>
          <w:color w:val="000000"/>
        </w:rPr>
        <w:t>.</w:t>
      </w:r>
    </w:p>
    <w:p w:rsidR="00A76322" w:rsidRDefault="00A76322" w:rsidP="00A76322">
      <w:pPr>
        <w:pStyle w:val="Heading4"/>
      </w:pPr>
      <w:r>
        <w:t>Expenditure Side</w:t>
      </w:r>
    </w:p>
    <w:p w:rsidR="00A76322" w:rsidRPr="00AB0DEB" w:rsidRDefault="00A76322" w:rsidP="00A76322">
      <w:pPr>
        <w:pStyle w:val="NumberedPara"/>
        <w:ind w:left="540" w:hanging="540"/>
      </w:pPr>
      <w:r>
        <w:t>On the expenditure side, the document looks at Consolidated Revenue Fund (CRF) charges, Personnel, Overheads and Capital Expenditure – budget versus actual</w:t>
      </w:r>
      <w:r w:rsidR="00956A70">
        <w:t xml:space="preserve"> for the period 2013-2019</w:t>
      </w:r>
      <w:r>
        <w:t>.</w:t>
      </w:r>
    </w:p>
    <w:p w:rsidR="00A76322" w:rsidRPr="00267416" w:rsidRDefault="00D17C85" w:rsidP="00793B52">
      <w:pPr>
        <w:pStyle w:val="StyleCaptionCentered"/>
        <w:rPr>
          <w:rFonts w:ascii="Arial Black" w:hAnsi="Arial Black"/>
        </w:rPr>
      </w:pPr>
      <w:bookmarkStart w:id="60" w:name="_Toc79828558"/>
      <w:r w:rsidRPr="00267416">
        <w:rPr>
          <w:rFonts w:ascii="Arial Black" w:hAnsi="Arial Black"/>
        </w:rPr>
        <w:lastRenderedPageBreak/>
        <w:t>Figure</w:t>
      </w:r>
      <w:r w:rsidR="009B3CAF" w:rsidRPr="00267416">
        <w:rPr>
          <w:rFonts w:ascii="Arial Black" w:hAnsi="Arial Black"/>
        </w:rPr>
        <w:t xml:space="preserve"> </w:t>
      </w:r>
      <w:r w:rsidR="00793B52" w:rsidRPr="00267416">
        <w:rPr>
          <w:rFonts w:ascii="Arial Black" w:hAnsi="Arial Black"/>
        </w:rPr>
        <w:fldChar w:fldCharType="begin"/>
      </w:r>
      <w:r w:rsidR="00793B52" w:rsidRPr="00267416">
        <w:rPr>
          <w:rFonts w:ascii="Arial Black" w:hAnsi="Arial Black"/>
        </w:rPr>
        <w:instrText xml:space="preserve"> SEQ Figure \* ARABIC </w:instrText>
      </w:r>
      <w:r w:rsidR="00793B52" w:rsidRPr="00267416">
        <w:rPr>
          <w:rFonts w:ascii="Arial Black" w:hAnsi="Arial Black"/>
        </w:rPr>
        <w:fldChar w:fldCharType="separate"/>
      </w:r>
      <w:r w:rsidR="00793B52" w:rsidRPr="00267416">
        <w:rPr>
          <w:rFonts w:ascii="Arial Black" w:hAnsi="Arial Black"/>
          <w:noProof/>
        </w:rPr>
        <w:t>8</w:t>
      </w:r>
      <w:r w:rsidR="00793B52" w:rsidRPr="00267416">
        <w:rPr>
          <w:rFonts w:ascii="Arial Black" w:hAnsi="Arial Black"/>
        </w:rPr>
        <w:fldChar w:fldCharType="end"/>
      </w:r>
      <w:r w:rsidRPr="00267416">
        <w:rPr>
          <w:rFonts w:ascii="Arial Black" w:hAnsi="Arial Black"/>
        </w:rPr>
        <w:t>:</w:t>
      </w:r>
      <w:r w:rsidR="00A76322" w:rsidRPr="00267416">
        <w:rPr>
          <w:rFonts w:ascii="Arial Black" w:hAnsi="Arial Black"/>
        </w:rPr>
        <w:t xml:space="preserve"> CRF Charges</w:t>
      </w:r>
      <w:bookmarkEnd w:id="60"/>
    </w:p>
    <w:p w:rsidR="00A3705B" w:rsidRDefault="00E36A25" w:rsidP="00A76322">
      <w:pPr>
        <w:pStyle w:val="StyleCaptionCentered"/>
      </w:pPr>
      <w:r w:rsidRPr="00E36A25">
        <w:rPr>
          <w:noProof/>
          <w:lang w:val="en-US" w:eastAsia="en-US"/>
        </w:rPr>
        <w:drawing>
          <wp:inline distT="0" distB="0" distL="0" distR="0">
            <wp:extent cx="5504815" cy="3033197"/>
            <wp:effectExtent l="0" t="0" r="63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4815" cy="3033197"/>
                    </a:xfrm>
                    <a:prstGeom prst="rect">
                      <a:avLst/>
                    </a:prstGeom>
                    <a:noFill/>
                    <a:ln>
                      <a:noFill/>
                    </a:ln>
                  </pic:spPr>
                </pic:pic>
              </a:graphicData>
            </a:graphic>
          </wp:inline>
        </w:drawing>
      </w:r>
    </w:p>
    <w:p w:rsidR="00EF17C2" w:rsidRPr="00210104" w:rsidRDefault="00EF17C2" w:rsidP="00210104">
      <w:pPr>
        <w:pStyle w:val="NumberedPara"/>
        <w:tabs>
          <w:tab w:val="clear" w:pos="1287"/>
          <w:tab w:val="num" w:pos="540"/>
        </w:tabs>
        <w:ind w:left="540" w:hanging="540"/>
        <w:rPr>
          <w:color w:val="000000"/>
        </w:rPr>
      </w:pPr>
      <w:r w:rsidRPr="00210104">
        <w:rPr>
          <w:color w:val="000000"/>
        </w:rPr>
        <w:t>CRF (Consolidated Revenue Fund) charges relate to salaries for statutory positions (e.g. the Auditor General,</w:t>
      </w:r>
      <w:r w:rsidR="007F67CB">
        <w:rPr>
          <w:color w:val="000000"/>
        </w:rPr>
        <w:t xml:space="preserve"> Political Office Holders,</w:t>
      </w:r>
      <w:r w:rsidRPr="00210104">
        <w:rPr>
          <w:color w:val="000000"/>
        </w:rPr>
        <w:t xml:space="preserve"> Judiciary and Sharia Court</w:t>
      </w:r>
      <w:r w:rsidR="00E758A6" w:rsidRPr="00210104">
        <w:rPr>
          <w:color w:val="000000"/>
        </w:rPr>
        <w:t xml:space="preserve"> officials</w:t>
      </w:r>
      <w:r w:rsidR="00FC025C">
        <w:rPr>
          <w:color w:val="000000"/>
        </w:rPr>
        <w:t>).</w:t>
      </w:r>
    </w:p>
    <w:p w:rsidR="00A76322" w:rsidRPr="007D7E4C" w:rsidRDefault="00715A7D" w:rsidP="00210104">
      <w:pPr>
        <w:pStyle w:val="NumberedPara"/>
        <w:tabs>
          <w:tab w:val="clear" w:pos="1287"/>
        </w:tabs>
        <w:ind w:left="540" w:hanging="540"/>
        <w:rPr>
          <w:szCs w:val="22"/>
        </w:rPr>
      </w:pPr>
      <w:r w:rsidRPr="00210104">
        <w:rPr>
          <w:color w:val="000000"/>
          <w:szCs w:val="22"/>
        </w:rPr>
        <w:t>T</w:t>
      </w:r>
      <w:r w:rsidR="00EF17C2" w:rsidRPr="00210104">
        <w:rPr>
          <w:color w:val="000000"/>
          <w:szCs w:val="22"/>
        </w:rPr>
        <w:t>he actua</w:t>
      </w:r>
      <w:r w:rsidR="007F67CB">
        <w:rPr>
          <w:color w:val="000000"/>
          <w:szCs w:val="22"/>
        </w:rPr>
        <w:t>l</w:t>
      </w:r>
      <w:r w:rsidR="00A36181">
        <w:rPr>
          <w:color w:val="000000"/>
          <w:szCs w:val="22"/>
        </w:rPr>
        <w:t xml:space="preserve"> performance of </w:t>
      </w:r>
      <w:r w:rsidR="00F33A62" w:rsidRPr="00210104">
        <w:rPr>
          <w:color w:val="000000"/>
        </w:rPr>
        <w:t>CRF (Consolidated Revenue Fund) charges</w:t>
      </w:r>
      <w:r w:rsidR="00F33A62">
        <w:rPr>
          <w:color w:val="000000"/>
          <w:szCs w:val="22"/>
        </w:rPr>
        <w:t xml:space="preserve"> kept on decreasing until </w:t>
      </w:r>
      <w:r w:rsidR="00874C0E">
        <w:rPr>
          <w:color w:val="000000"/>
          <w:szCs w:val="22"/>
        </w:rPr>
        <w:t xml:space="preserve">it </w:t>
      </w:r>
      <w:r w:rsidR="00F33A62">
        <w:rPr>
          <w:color w:val="000000"/>
          <w:szCs w:val="22"/>
        </w:rPr>
        <w:t xml:space="preserve">was final </w:t>
      </w:r>
      <w:r w:rsidR="00F33A62" w:rsidRPr="00764CCF">
        <w:rPr>
          <w:szCs w:val="22"/>
        </w:rPr>
        <w:t>fused together under civil servants’ salaries</w:t>
      </w:r>
      <w:r w:rsidR="00F33A62">
        <w:rPr>
          <w:szCs w:val="22"/>
        </w:rPr>
        <w:t xml:space="preserve"> in 2018 till date. However, the year 2015 and 2016 performance were more than budgetary provisions</w:t>
      </w:r>
      <w:r w:rsidR="00EF17C2" w:rsidRPr="00C46135">
        <w:rPr>
          <w:color w:val="000000"/>
          <w:szCs w:val="22"/>
        </w:rPr>
        <w:t>.</w:t>
      </w:r>
      <w:r w:rsidR="00EF17C2" w:rsidRPr="00210104">
        <w:rPr>
          <w:color w:val="000000"/>
          <w:szCs w:val="22"/>
        </w:rPr>
        <w:t xml:space="preserve"> This is due to political appointment not being steady</w:t>
      </w:r>
      <w:r w:rsidR="00EF17C2" w:rsidRPr="007D7E4C">
        <w:rPr>
          <w:szCs w:val="22"/>
        </w:rPr>
        <w:t>.</w:t>
      </w:r>
    </w:p>
    <w:p w:rsidR="00A76322" w:rsidRPr="00267416" w:rsidRDefault="00D17C85" w:rsidP="00793B52">
      <w:pPr>
        <w:pStyle w:val="StyleCaptionCentered"/>
        <w:rPr>
          <w:rFonts w:ascii="Arial Black" w:hAnsi="Arial Black"/>
        </w:rPr>
      </w:pPr>
      <w:bookmarkStart w:id="61" w:name="_Toc79828559"/>
      <w:r w:rsidRPr="00267416">
        <w:rPr>
          <w:rFonts w:ascii="Arial Black" w:hAnsi="Arial Black"/>
        </w:rPr>
        <w:t>Figure</w:t>
      </w:r>
      <w:r w:rsidR="009B3CAF" w:rsidRPr="00267416">
        <w:rPr>
          <w:rFonts w:ascii="Arial Black" w:hAnsi="Arial Black"/>
        </w:rPr>
        <w:t xml:space="preserve"> </w:t>
      </w:r>
      <w:r w:rsidR="00793B52" w:rsidRPr="00267416">
        <w:rPr>
          <w:rFonts w:ascii="Arial Black" w:hAnsi="Arial Black"/>
        </w:rPr>
        <w:fldChar w:fldCharType="begin"/>
      </w:r>
      <w:r w:rsidR="00793B52" w:rsidRPr="00267416">
        <w:rPr>
          <w:rFonts w:ascii="Arial Black" w:hAnsi="Arial Black"/>
        </w:rPr>
        <w:instrText xml:space="preserve"> SEQ Figure \* ARABIC </w:instrText>
      </w:r>
      <w:r w:rsidR="00793B52" w:rsidRPr="00267416">
        <w:rPr>
          <w:rFonts w:ascii="Arial Black" w:hAnsi="Arial Black"/>
        </w:rPr>
        <w:fldChar w:fldCharType="separate"/>
      </w:r>
      <w:r w:rsidR="00793B52" w:rsidRPr="00267416">
        <w:rPr>
          <w:rFonts w:ascii="Arial Black" w:hAnsi="Arial Black"/>
          <w:noProof/>
        </w:rPr>
        <w:t>9</w:t>
      </w:r>
      <w:r w:rsidR="00793B52" w:rsidRPr="00267416">
        <w:rPr>
          <w:rFonts w:ascii="Arial Black" w:hAnsi="Arial Black"/>
        </w:rPr>
        <w:fldChar w:fldCharType="end"/>
      </w:r>
      <w:r w:rsidRPr="00267416">
        <w:rPr>
          <w:rFonts w:ascii="Arial Black" w:hAnsi="Arial Black"/>
        </w:rPr>
        <w:t>:</w:t>
      </w:r>
      <w:r w:rsidR="00A76322" w:rsidRPr="00267416">
        <w:rPr>
          <w:rFonts w:ascii="Arial Black" w:hAnsi="Arial Black"/>
        </w:rPr>
        <w:t xml:space="preserve"> Personnel</w:t>
      </w:r>
      <w:bookmarkEnd w:id="61"/>
    </w:p>
    <w:p w:rsidR="00A76322" w:rsidRPr="000351C1" w:rsidRDefault="00E36A25" w:rsidP="00A76322">
      <w:pPr>
        <w:jc w:val="center"/>
      </w:pPr>
      <w:r w:rsidRPr="00E36A25">
        <w:rPr>
          <w:noProof/>
          <w:lang w:val="en-US" w:eastAsia="en-US"/>
        </w:rPr>
        <w:drawing>
          <wp:inline distT="0" distB="0" distL="0" distR="0">
            <wp:extent cx="5504815" cy="3033811"/>
            <wp:effectExtent l="0" t="0" r="63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4815" cy="3033811"/>
                    </a:xfrm>
                    <a:prstGeom prst="rect">
                      <a:avLst/>
                    </a:prstGeom>
                    <a:noFill/>
                    <a:ln>
                      <a:noFill/>
                    </a:ln>
                  </pic:spPr>
                </pic:pic>
              </a:graphicData>
            </a:graphic>
          </wp:inline>
        </w:drawing>
      </w:r>
    </w:p>
    <w:p w:rsidR="00856A24" w:rsidRPr="00210104" w:rsidRDefault="00856A24" w:rsidP="00210104">
      <w:pPr>
        <w:pStyle w:val="NumberedPara"/>
        <w:tabs>
          <w:tab w:val="clear" w:pos="1287"/>
          <w:tab w:val="num" w:pos="540"/>
        </w:tabs>
        <w:ind w:left="540" w:hanging="540"/>
        <w:rPr>
          <w:color w:val="000000"/>
        </w:rPr>
      </w:pPr>
      <w:r w:rsidRPr="00210104">
        <w:rPr>
          <w:color w:val="000000"/>
        </w:rPr>
        <w:t>Personnel costs comprise of salaries and allowances of civil servant</w:t>
      </w:r>
      <w:r w:rsidR="007D7E4C" w:rsidRPr="00210104">
        <w:rPr>
          <w:color w:val="000000"/>
        </w:rPr>
        <w:t>s</w:t>
      </w:r>
      <w:r w:rsidR="00210104" w:rsidRPr="00210104">
        <w:rPr>
          <w:color w:val="000000"/>
        </w:rPr>
        <w:t>.</w:t>
      </w:r>
    </w:p>
    <w:p w:rsidR="00A76322" w:rsidRPr="00210104" w:rsidRDefault="00856A24" w:rsidP="00210104">
      <w:pPr>
        <w:pStyle w:val="NumberedPara"/>
        <w:tabs>
          <w:tab w:val="clear" w:pos="1287"/>
          <w:tab w:val="num" w:pos="540"/>
        </w:tabs>
        <w:ind w:left="540" w:hanging="540"/>
        <w:rPr>
          <w:color w:val="000000"/>
        </w:rPr>
      </w:pPr>
      <w:r w:rsidRPr="00210104">
        <w:rPr>
          <w:color w:val="000000"/>
        </w:rPr>
        <w:t xml:space="preserve">The expenditures were </w:t>
      </w:r>
      <w:r w:rsidR="008E2CB1">
        <w:rPr>
          <w:color w:val="000000"/>
        </w:rPr>
        <w:t>on steady fall from 2015 till 2018</w:t>
      </w:r>
      <w:r w:rsidR="00626670">
        <w:rPr>
          <w:color w:val="000000"/>
        </w:rPr>
        <w:t>.</w:t>
      </w:r>
      <w:r w:rsidR="00F76AE8" w:rsidRPr="00210104">
        <w:rPr>
          <w:color w:val="000000"/>
        </w:rPr>
        <w:t xml:space="preserve"> The</w:t>
      </w:r>
      <w:r w:rsidR="008D542D">
        <w:rPr>
          <w:color w:val="000000"/>
        </w:rPr>
        <w:t xml:space="preserve"> steady</w:t>
      </w:r>
      <w:r w:rsidR="00F76AE8" w:rsidRPr="00210104">
        <w:rPr>
          <w:color w:val="000000"/>
        </w:rPr>
        <w:t xml:space="preserve"> drop </w:t>
      </w:r>
      <w:r w:rsidR="008E2CB1">
        <w:rPr>
          <w:color w:val="000000"/>
        </w:rPr>
        <w:t>was as a result of</w:t>
      </w:r>
      <w:r w:rsidR="00210104" w:rsidRPr="00210104">
        <w:rPr>
          <w:color w:val="000000"/>
        </w:rPr>
        <w:t xml:space="preserve"> screening exercise </w:t>
      </w:r>
      <w:r w:rsidR="008D542D">
        <w:rPr>
          <w:color w:val="000000"/>
        </w:rPr>
        <w:t>which retired many people from the service.</w:t>
      </w:r>
      <w:r w:rsidR="00A36181">
        <w:rPr>
          <w:color w:val="000000"/>
        </w:rPr>
        <w:t xml:space="preserve"> There was </w:t>
      </w:r>
      <w:r w:rsidR="00043C9E">
        <w:rPr>
          <w:color w:val="000000"/>
        </w:rPr>
        <w:lastRenderedPageBreak/>
        <w:t>a serious increase</w:t>
      </w:r>
      <w:r w:rsidR="00A36181">
        <w:rPr>
          <w:color w:val="000000"/>
        </w:rPr>
        <w:t xml:space="preserve"> in 201</w:t>
      </w:r>
      <w:r w:rsidR="00200790">
        <w:rPr>
          <w:color w:val="000000"/>
        </w:rPr>
        <w:t>9 as a result of huge gratuity payment</w:t>
      </w:r>
      <w:r w:rsidR="008E2CB1">
        <w:rPr>
          <w:color w:val="000000"/>
        </w:rPr>
        <w:t xml:space="preserve"> and payment of arrears of people with screening people before they were cleared</w:t>
      </w:r>
      <w:r w:rsidR="00A36181">
        <w:rPr>
          <w:color w:val="000000"/>
        </w:rPr>
        <w:t>.</w:t>
      </w:r>
    </w:p>
    <w:p w:rsidR="00A76322" w:rsidRPr="00693321" w:rsidRDefault="00D17C85" w:rsidP="00793B52">
      <w:pPr>
        <w:pStyle w:val="StyleCaptionCentered"/>
        <w:rPr>
          <w:rFonts w:ascii="Arial Black" w:hAnsi="Arial Black"/>
        </w:rPr>
      </w:pPr>
      <w:bookmarkStart w:id="62" w:name="_Toc79828560"/>
      <w:r w:rsidRPr="00693321">
        <w:rPr>
          <w:rFonts w:ascii="Arial Black" w:hAnsi="Arial Black"/>
        </w:rPr>
        <w:t>Figure</w:t>
      </w:r>
      <w:r w:rsidR="008E2CB1" w:rsidRPr="00693321">
        <w:rPr>
          <w:rFonts w:ascii="Arial Black" w:hAnsi="Arial Black"/>
        </w:rPr>
        <w:t xml:space="preserve"> </w:t>
      </w:r>
      <w:r w:rsidR="00793B52" w:rsidRPr="00693321">
        <w:rPr>
          <w:rFonts w:ascii="Arial Black" w:hAnsi="Arial Black"/>
        </w:rPr>
        <w:fldChar w:fldCharType="begin"/>
      </w:r>
      <w:r w:rsidR="00793B52" w:rsidRPr="00693321">
        <w:rPr>
          <w:rFonts w:ascii="Arial Black" w:hAnsi="Arial Black"/>
        </w:rPr>
        <w:instrText xml:space="preserve"> SEQ Figure \* ARABIC </w:instrText>
      </w:r>
      <w:r w:rsidR="00793B52" w:rsidRPr="00693321">
        <w:rPr>
          <w:rFonts w:ascii="Arial Black" w:hAnsi="Arial Black"/>
        </w:rPr>
        <w:fldChar w:fldCharType="separate"/>
      </w:r>
      <w:r w:rsidR="00793B52" w:rsidRPr="00693321">
        <w:rPr>
          <w:rFonts w:ascii="Arial Black" w:hAnsi="Arial Black"/>
          <w:noProof/>
        </w:rPr>
        <w:t>10</w:t>
      </w:r>
      <w:r w:rsidR="00793B52" w:rsidRPr="00693321">
        <w:rPr>
          <w:rFonts w:ascii="Arial Black" w:hAnsi="Arial Black"/>
        </w:rPr>
        <w:fldChar w:fldCharType="end"/>
      </w:r>
      <w:r w:rsidRPr="00693321">
        <w:rPr>
          <w:rFonts w:ascii="Arial Black" w:hAnsi="Arial Black"/>
        </w:rPr>
        <w:t>:</w:t>
      </w:r>
      <w:r w:rsidR="00A76322" w:rsidRPr="00693321">
        <w:rPr>
          <w:rFonts w:ascii="Arial Black" w:hAnsi="Arial Black"/>
        </w:rPr>
        <w:t xml:space="preserve"> Overhead</w:t>
      </w:r>
      <w:r w:rsidR="00693321">
        <w:rPr>
          <w:rFonts w:ascii="Arial Black" w:hAnsi="Arial Black"/>
        </w:rPr>
        <w:t xml:space="preserve"> Expenditure</w:t>
      </w:r>
      <w:bookmarkEnd w:id="62"/>
    </w:p>
    <w:p w:rsidR="00A76322" w:rsidRPr="0056210E" w:rsidRDefault="00E36A25" w:rsidP="00A76322">
      <w:pPr>
        <w:pStyle w:val="StyleCaptionCentered"/>
        <w:rPr>
          <w:lang w:val="en-US"/>
        </w:rPr>
      </w:pPr>
      <w:r w:rsidRPr="00E36A25">
        <w:rPr>
          <w:noProof/>
          <w:lang w:val="en-US" w:eastAsia="en-US"/>
        </w:rPr>
        <w:drawing>
          <wp:inline distT="0" distB="0" distL="0" distR="0">
            <wp:extent cx="5504815" cy="3030468"/>
            <wp:effectExtent l="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4815" cy="3030468"/>
                    </a:xfrm>
                    <a:prstGeom prst="rect">
                      <a:avLst/>
                    </a:prstGeom>
                    <a:noFill/>
                    <a:ln>
                      <a:noFill/>
                    </a:ln>
                  </pic:spPr>
                </pic:pic>
              </a:graphicData>
            </a:graphic>
          </wp:inline>
        </w:drawing>
      </w:r>
    </w:p>
    <w:p w:rsidR="00A76322" w:rsidRPr="00E137F9" w:rsidRDefault="0059048A" w:rsidP="00E137F9">
      <w:pPr>
        <w:pStyle w:val="NumberedPara"/>
        <w:tabs>
          <w:tab w:val="clear" w:pos="1287"/>
        </w:tabs>
        <w:ind w:left="540" w:hanging="540"/>
        <w:rPr>
          <w:color w:val="000000"/>
        </w:rPr>
      </w:pPr>
      <w:r>
        <w:rPr>
          <w:color w:val="000000"/>
        </w:rPr>
        <w:t xml:space="preserve">Overheads comprise mainly </w:t>
      </w:r>
      <w:r w:rsidR="007D1A5D" w:rsidRPr="00E137F9">
        <w:rPr>
          <w:color w:val="000000"/>
        </w:rPr>
        <w:t>operational and maintenance costs for running the government.</w:t>
      </w:r>
    </w:p>
    <w:p w:rsidR="007D1A5D" w:rsidRDefault="007D4E71" w:rsidP="00893008">
      <w:pPr>
        <w:pStyle w:val="NumberedPara"/>
        <w:tabs>
          <w:tab w:val="clear" w:pos="1287"/>
          <w:tab w:val="num" w:pos="540"/>
        </w:tabs>
        <w:ind w:left="540" w:hanging="540"/>
      </w:pPr>
      <w:r w:rsidRPr="00352645">
        <w:rPr>
          <w:color w:val="000000"/>
        </w:rPr>
        <w:t>Overhead costs on the graph above show irregular spending year by year.</w:t>
      </w:r>
      <w:r w:rsidR="008A6B02" w:rsidRPr="00352645">
        <w:rPr>
          <w:color w:val="000000"/>
        </w:rPr>
        <w:t xml:space="preserve"> </w:t>
      </w:r>
      <w:r w:rsidR="007D1A5D" w:rsidRPr="00352645">
        <w:rPr>
          <w:color w:val="000000"/>
        </w:rPr>
        <w:t>This was largely due to increased cost of running government, especially with respect to maintenance of many government offices.</w:t>
      </w:r>
      <w:r w:rsidR="00E137F9" w:rsidRPr="00352645">
        <w:rPr>
          <w:color w:val="000000"/>
        </w:rPr>
        <w:t xml:space="preserve"> 2016</w:t>
      </w:r>
      <w:r w:rsidR="000F3238" w:rsidRPr="00352645">
        <w:rPr>
          <w:color w:val="000000"/>
        </w:rPr>
        <w:t xml:space="preserve"> and 2017</w:t>
      </w:r>
      <w:r w:rsidR="00E137F9" w:rsidRPr="00352645">
        <w:rPr>
          <w:color w:val="000000"/>
        </w:rPr>
        <w:t xml:space="preserve"> expenditure</w:t>
      </w:r>
      <w:r w:rsidR="000F3238" w:rsidRPr="00352645">
        <w:rPr>
          <w:color w:val="000000"/>
        </w:rPr>
        <w:t>s were</w:t>
      </w:r>
      <w:r w:rsidR="00E137F9" w:rsidRPr="00352645">
        <w:rPr>
          <w:color w:val="000000"/>
        </w:rPr>
        <w:t xml:space="preserve"> far ahead of budget</w:t>
      </w:r>
      <w:r w:rsidRPr="00352645">
        <w:rPr>
          <w:color w:val="000000"/>
        </w:rPr>
        <w:t>ary provision</w:t>
      </w:r>
      <w:r w:rsidR="00043C9E" w:rsidRPr="00352645">
        <w:rPr>
          <w:color w:val="000000"/>
        </w:rPr>
        <w:t xml:space="preserve"> due to high cost of conducting the</w:t>
      </w:r>
      <w:r w:rsidR="00E137F9" w:rsidRPr="00352645">
        <w:rPr>
          <w:color w:val="000000"/>
        </w:rPr>
        <w:t xml:space="preserve"> screening</w:t>
      </w:r>
      <w:r w:rsidR="00E137F9" w:rsidRPr="00031A79">
        <w:t xml:space="preserve"> exercise</w:t>
      </w:r>
      <w:r w:rsidR="00E137F9">
        <w:t>.</w:t>
      </w:r>
      <w:r w:rsidR="00352645">
        <w:t xml:space="preserve"> Also, the was sharp </w:t>
      </w:r>
      <w:r w:rsidR="00C50E4F">
        <w:t>increase</w:t>
      </w:r>
      <w:r w:rsidR="00352645">
        <w:t xml:space="preserve"> in 2020 actual performance due to debt repayment</w:t>
      </w:r>
    </w:p>
    <w:p w:rsidR="00A76322" w:rsidRPr="00693321" w:rsidRDefault="00D17C85" w:rsidP="00793B52">
      <w:pPr>
        <w:pStyle w:val="StyleCaptionCentered"/>
        <w:rPr>
          <w:rFonts w:ascii="Arial Black" w:hAnsi="Arial Black"/>
        </w:rPr>
      </w:pPr>
      <w:bookmarkStart w:id="63" w:name="_Toc79828561"/>
      <w:r w:rsidRPr="00693321">
        <w:rPr>
          <w:rFonts w:ascii="Arial Black" w:hAnsi="Arial Black"/>
        </w:rPr>
        <w:t>Figure</w:t>
      </w:r>
      <w:r w:rsidR="00352645" w:rsidRPr="00693321">
        <w:rPr>
          <w:rFonts w:ascii="Arial Black" w:hAnsi="Arial Black"/>
        </w:rPr>
        <w:t xml:space="preserve"> </w:t>
      </w:r>
      <w:r w:rsidR="00793B52" w:rsidRPr="00693321">
        <w:rPr>
          <w:rFonts w:ascii="Arial Black" w:hAnsi="Arial Black"/>
        </w:rPr>
        <w:fldChar w:fldCharType="begin"/>
      </w:r>
      <w:r w:rsidR="00793B52" w:rsidRPr="00693321">
        <w:rPr>
          <w:rFonts w:ascii="Arial Black" w:hAnsi="Arial Black"/>
        </w:rPr>
        <w:instrText xml:space="preserve"> SEQ Figure \* ARABIC </w:instrText>
      </w:r>
      <w:r w:rsidR="00793B52" w:rsidRPr="00693321">
        <w:rPr>
          <w:rFonts w:ascii="Arial Black" w:hAnsi="Arial Black"/>
        </w:rPr>
        <w:fldChar w:fldCharType="separate"/>
      </w:r>
      <w:r w:rsidR="00793B52" w:rsidRPr="00693321">
        <w:rPr>
          <w:rFonts w:ascii="Arial Black" w:hAnsi="Arial Black"/>
          <w:noProof/>
        </w:rPr>
        <w:t>11</w:t>
      </w:r>
      <w:r w:rsidR="00793B52" w:rsidRPr="00693321">
        <w:rPr>
          <w:rFonts w:ascii="Arial Black" w:hAnsi="Arial Black"/>
        </w:rPr>
        <w:fldChar w:fldCharType="end"/>
      </w:r>
      <w:r w:rsidRPr="00693321">
        <w:rPr>
          <w:rFonts w:ascii="Arial Black" w:hAnsi="Arial Black"/>
        </w:rPr>
        <w:t>:</w:t>
      </w:r>
      <w:r w:rsidR="00A76322" w:rsidRPr="00693321">
        <w:rPr>
          <w:rFonts w:ascii="Arial Black" w:hAnsi="Arial Black"/>
        </w:rPr>
        <w:t xml:space="preserve"> Capital Expenditure</w:t>
      </w:r>
      <w:bookmarkEnd w:id="63"/>
    </w:p>
    <w:p w:rsidR="00A76322" w:rsidRPr="000351C1" w:rsidRDefault="00E36A25" w:rsidP="00A3705B">
      <w:pPr>
        <w:jc w:val="center"/>
      </w:pPr>
      <w:r w:rsidRPr="00E36A25">
        <w:rPr>
          <w:noProof/>
          <w:lang w:val="en-US" w:eastAsia="en-US"/>
        </w:rPr>
        <w:drawing>
          <wp:inline distT="0" distB="0" distL="0" distR="0">
            <wp:extent cx="5504815" cy="3030468"/>
            <wp:effectExtent l="0" t="0" r="63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04815" cy="3030468"/>
                    </a:xfrm>
                    <a:prstGeom prst="rect">
                      <a:avLst/>
                    </a:prstGeom>
                    <a:noFill/>
                    <a:ln>
                      <a:noFill/>
                    </a:ln>
                  </pic:spPr>
                </pic:pic>
              </a:graphicData>
            </a:graphic>
          </wp:inline>
        </w:drawing>
      </w:r>
    </w:p>
    <w:p w:rsidR="00A76322" w:rsidRPr="00E137F9" w:rsidRDefault="008A6B02" w:rsidP="00E137F9">
      <w:pPr>
        <w:pStyle w:val="NumberedPara"/>
        <w:tabs>
          <w:tab w:val="clear" w:pos="1287"/>
          <w:tab w:val="num" w:pos="540"/>
        </w:tabs>
        <w:ind w:left="540" w:hanging="540"/>
        <w:rPr>
          <w:color w:val="000000"/>
        </w:rPr>
      </w:pPr>
      <w:r w:rsidRPr="00E137F9">
        <w:rPr>
          <w:color w:val="000000"/>
        </w:rPr>
        <w:lastRenderedPageBreak/>
        <w:t>Capital expenditure refers to</w:t>
      </w:r>
      <w:r w:rsidR="000F3238">
        <w:rPr>
          <w:color w:val="000000"/>
        </w:rPr>
        <w:t xml:space="preserve"> costs of</w:t>
      </w:r>
      <w:r w:rsidRPr="00E137F9">
        <w:rPr>
          <w:color w:val="000000"/>
        </w:rPr>
        <w:t xml:space="preserve"> projects that generate </w:t>
      </w:r>
      <w:r w:rsidR="00A61242" w:rsidRPr="00E137F9">
        <w:rPr>
          <w:color w:val="000000"/>
        </w:rPr>
        <w:t xml:space="preserve">State </w:t>
      </w:r>
      <w:r w:rsidRPr="00E137F9">
        <w:rPr>
          <w:color w:val="000000"/>
        </w:rPr>
        <w:t>assets (e.g. roads, schools, hospitals</w:t>
      </w:r>
      <w:r w:rsidR="00A61242" w:rsidRPr="00E137F9">
        <w:rPr>
          <w:color w:val="000000"/>
        </w:rPr>
        <w:t>, etc</w:t>
      </w:r>
      <w:r w:rsidRPr="00E137F9">
        <w:rPr>
          <w:color w:val="000000"/>
        </w:rPr>
        <w:t>). Capital expenditure includes the main investments and programmes of government.</w:t>
      </w:r>
    </w:p>
    <w:p w:rsidR="008A6B02" w:rsidRPr="00E137F9" w:rsidRDefault="008A6B02" w:rsidP="00E137F9">
      <w:pPr>
        <w:pStyle w:val="NumberedPara"/>
        <w:tabs>
          <w:tab w:val="clear" w:pos="1287"/>
          <w:tab w:val="num" w:pos="540"/>
        </w:tabs>
        <w:ind w:left="540" w:hanging="540"/>
        <w:rPr>
          <w:color w:val="000000"/>
        </w:rPr>
      </w:pPr>
      <w:r w:rsidRPr="00E137F9">
        <w:rPr>
          <w:color w:val="000000"/>
        </w:rPr>
        <w:t>The performance has been below expectation when compare</w:t>
      </w:r>
      <w:r w:rsidR="00C364B4" w:rsidRPr="00E137F9">
        <w:rPr>
          <w:color w:val="000000"/>
        </w:rPr>
        <w:t>d</w:t>
      </w:r>
      <w:r w:rsidRPr="00E137F9">
        <w:rPr>
          <w:color w:val="000000"/>
        </w:rPr>
        <w:t xml:space="preserve"> t</w:t>
      </w:r>
      <w:r w:rsidR="00C364B4" w:rsidRPr="00E137F9">
        <w:rPr>
          <w:color w:val="000000"/>
        </w:rPr>
        <w:t>o</w:t>
      </w:r>
      <w:r w:rsidRPr="00E137F9">
        <w:rPr>
          <w:color w:val="000000"/>
        </w:rPr>
        <w:t xml:space="preserve"> budgetary provisions</w:t>
      </w:r>
      <w:r w:rsidR="00EB1EE5" w:rsidRPr="00E137F9">
        <w:rPr>
          <w:color w:val="000000"/>
        </w:rPr>
        <w:t>. This is due to high costs of running government in terms of overheads and personnel cost</w:t>
      </w:r>
      <w:r w:rsidR="00200790">
        <w:rPr>
          <w:color w:val="000000"/>
        </w:rPr>
        <w:t xml:space="preserve"> except </w:t>
      </w:r>
      <w:r w:rsidR="00043C9E">
        <w:rPr>
          <w:color w:val="000000"/>
        </w:rPr>
        <w:t xml:space="preserve">in </w:t>
      </w:r>
      <w:r w:rsidR="00200790">
        <w:rPr>
          <w:color w:val="000000"/>
        </w:rPr>
        <w:t>2019</w:t>
      </w:r>
      <w:r w:rsidR="00893008">
        <w:rPr>
          <w:color w:val="000000"/>
        </w:rPr>
        <w:t xml:space="preserve"> where the State experienced a lot of multilateral projects in addition to State projects</w:t>
      </w:r>
      <w:r w:rsidR="00EB1EE5" w:rsidRPr="00E137F9">
        <w:rPr>
          <w:color w:val="000000"/>
        </w:rPr>
        <w:t>.</w:t>
      </w:r>
    </w:p>
    <w:p w:rsidR="00A76322" w:rsidRPr="00693321" w:rsidRDefault="00D17C85" w:rsidP="00793B52">
      <w:pPr>
        <w:pStyle w:val="StyleCaptionCentered"/>
        <w:rPr>
          <w:rFonts w:ascii="Arial Black" w:hAnsi="Arial Black"/>
        </w:rPr>
      </w:pPr>
      <w:bookmarkStart w:id="64" w:name="_Toc79828562"/>
      <w:r w:rsidRPr="00693321">
        <w:rPr>
          <w:rFonts w:ascii="Arial Black" w:hAnsi="Arial Black"/>
        </w:rPr>
        <w:t>Figure</w:t>
      </w:r>
      <w:r w:rsidR="00D272C1" w:rsidRPr="00693321">
        <w:rPr>
          <w:rFonts w:ascii="Arial Black" w:hAnsi="Arial Black"/>
        </w:rPr>
        <w:t xml:space="preserve"> </w:t>
      </w:r>
      <w:r w:rsidR="00793B52" w:rsidRPr="00693321">
        <w:rPr>
          <w:rFonts w:ascii="Arial Black" w:hAnsi="Arial Black"/>
        </w:rPr>
        <w:fldChar w:fldCharType="begin"/>
      </w:r>
      <w:r w:rsidR="00793B52" w:rsidRPr="00693321">
        <w:rPr>
          <w:rFonts w:ascii="Arial Black" w:hAnsi="Arial Black"/>
        </w:rPr>
        <w:instrText xml:space="preserve"> SEQ Figure \* ARABIC </w:instrText>
      </w:r>
      <w:r w:rsidR="00793B52" w:rsidRPr="00693321">
        <w:rPr>
          <w:rFonts w:ascii="Arial Black" w:hAnsi="Arial Black"/>
        </w:rPr>
        <w:fldChar w:fldCharType="separate"/>
      </w:r>
      <w:r w:rsidR="00793B52" w:rsidRPr="00693321">
        <w:rPr>
          <w:rFonts w:ascii="Arial Black" w:hAnsi="Arial Black"/>
          <w:noProof/>
        </w:rPr>
        <w:t>12</w:t>
      </w:r>
      <w:r w:rsidR="00793B52" w:rsidRPr="00693321">
        <w:rPr>
          <w:rFonts w:ascii="Arial Black" w:hAnsi="Arial Black"/>
        </w:rPr>
        <w:fldChar w:fldCharType="end"/>
      </w:r>
      <w:r w:rsidRPr="00693321">
        <w:rPr>
          <w:rFonts w:ascii="Arial Black" w:hAnsi="Arial Black"/>
        </w:rPr>
        <w:t>:</w:t>
      </w:r>
      <w:r w:rsidR="00A76322" w:rsidRPr="00693321">
        <w:rPr>
          <w:rFonts w:ascii="Arial Black" w:hAnsi="Arial Black"/>
        </w:rPr>
        <w:t xml:space="preserve"> Recurrent: Capital Expenditure Ratio</w:t>
      </w:r>
      <w:bookmarkEnd w:id="64"/>
    </w:p>
    <w:p w:rsidR="00A76322" w:rsidRPr="000351C1" w:rsidRDefault="003E4003" w:rsidP="00A3705B">
      <w:pPr>
        <w:jc w:val="center"/>
      </w:pPr>
      <w:r w:rsidRPr="003E4003">
        <w:rPr>
          <w:noProof/>
          <w:lang w:val="en-US" w:eastAsia="en-US"/>
        </w:rPr>
        <w:drawing>
          <wp:inline distT="0" distB="0" distL="0" distR="0">
            <wp:extent cx="5504815" cy="3033811"/>
            <wp:effectExtent l="0" t="0" r="63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04815" cy="3033811"/>
                    </a:xfrm>
                    <a:prstGeom prst="rect">
                      <a:avLst/>
                    </a:prstGeom>
                    <a:noFill/>
                    <a:ln>
                      <a:noFill/>
                    </a:ln>
                  </pic:spPr>
                </pic:pic>
              </a:graphicData>
            </a:graphic>
          </wp:inline>
        </w:drawing>
      </w:r>
    </w:p>
    <w:p w:rsidR="00A76322" w:rsidRPr="00E428F9" w:rsidRDefault="00627623" w:rsidP="00E428F9">
      <w:pPr>
        <w:pStyle w:val="NumberedPara"/>
        <w:tabs>
          <w:tab w:val="clear" w:pos="1287"/>
          <w:tab w:val="num" w:pos="540"/>
        </w:tabs>
        <w:ind w:left="540" w:hanging="540"/>
        <w:rPr>
          <w:color w:val="000000"/>
        </w:rPr>
      </w:pPr>
      <w:r w:rsidRPr="00E428F9">
        <w:rPr>
          <w:color w:val="000000"/>
        </w:rPr>
        <w:t xml:space="preserve">The capital expenditure ratio </w:t>
      </w:r>
      <w:r w:rsidR="005326C5">
        <w:rPr>
          <w:color w:val="000000"/>
        </w:rPr>
        <w:t xml:space="preserve">was </w:t>
      </w:r>
      <w:r w:rsidR="005326C5" w:rsidRPr="00114D09">
        <w:rPr>
          <w:color w:val="000000"/>
        </w:rPr>
        <w:t>significantly</w:t>
      </w:r>
      <w:r w:rsidR="00B86F86" w:rsidRPr="00114D09">
        <w:rPr>
          <w:color w:val="000000"/>
        </w:rPr>
        <w:t xml:space="preserve"> low</w:t>
      </w:r>
      <w:r w:rsidRPr="00114D09">
        <w:rPr>
          <w:color w:val="000000"/>
        </w:rPr>
        <w:t xml:space="preserve"> under the years capture</w:t>
      </w:r>
      <w:r w:rsidR="007537C6" w:rsidRPr="00114D09">
        <w:rPr>
          <w:color w:val="000000"/>
        </w:rPr>
        <w:t>d</w:t>
      </w:r>
      <w:r w:rsidRPr="00114D09">
        <w:rPr>
          <w:color w:val="000000"/>
        </w:rPr>
        <w:t>.</w:t>
      </w:r>
      <w:r w:rsidRPr="00E428F9">
        <w:rPr>
          <w:color w:val="000000"/>
        </w:rPr>
        <w:t xml:space="preserve"> </w:t>
      </w:r>
      <w:r w:rsidR="00B86F86">
        <w:rPr>
          <w:color w:val="000000"/>
        </w:rPr>
        <w:t xml:space="preserve">The actual </w:t>
      </w:r>
      <w:r w:rsidR="00200790">
        <w:rPr>
          <w:color w:val="000000"/>
        </w:rPr>
        <w:t>percentage ranged from 13% to 5</w:t>
      </w:r>
      <w:r w:rsidR="007D4E71">
        <w:rPr>
          <w:color w:val="000000"/>
        </w:rPr>
        <w:t>0</w:t>
      </w:r>
      <w:r w:rsidR="00B86F86">
        <w:rPr>
          <w:color w:val="000000"/>
        </w:rPr>
        <w:t>% which is below expectation.</w:t>
      </w:r>
    </w:p>
    <w:p w:rsidR="007269D8" w:rsidRDefault="003E4003" w:rsidP="003E4003">
      <w:pPr>
        <w:pStyle w:val="NumberedPara"/>
        <w:numPr>
          <w:ilvl w:val="0"/>
          <w:numId w:val="0"/>
        </w:numPr>
        <w:ind w:left="1287" w:hanging="567"/>
        <w:rPr>
          <w:rFonts w:ascii="Arial Black" w:hAnsi="Arial Black"/>
          <w:b/>
          <w:bCs/>
        </w:rPr>
      </w:pPr>
      <w:bookmarkStart w:id="65" w:name="_Toc79828563"/>
      <w:r w:rsidRPr="003E4003">
        <w:rPr>
          <w:noProof/>
          <w:lang w:val="en-US" w:eastAsia="en-US"/>
        </w:rPr>
        <w:drawing>
          <wp:anchor distT="0" distB="0" distL="114300" distR="114300" simplePos="0" relativeHeight="251671552" behindDoc="0" locked="0" layoutInCell="1" allowOverlap="1">
            <wp:simplePos x="0" y="0"/>
            <wp:positionH relativeFrom="column">
              <wp:posOffset>-6350</wp:posOffset>
            </wp:positionH>
            <wp:positionV relativeFrom="paragraph">
              <wp:posOffset>318135</wp:posOffset>
            </wp:positionV>
            <wp:extent cx="5503545" cy="2992755"/>
            <wp:effectExtent l="0" t="0" r="1905" b="0"/>
            <wp:wrapThrough wrapText="bothSides">
              <wp:wrapPolygon edited="0">
                <wp:start x="0" y="0"/>
                <wp:lineTo x="0" y="21449"/>
                <wp:lineTo x="21533" y="21449"/>
                <wp:lineTo x="21533"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03545" cy="2992755"/>
                    </a:xfrm>
                    <a:prstGeom prst="rect">
                      <a:avLst/>
                    </a:prstGeom>
                    <a:noFill/>
                    <a:ln>
                      <a:noFill/>
                    </a:ln>
                  </pic:spPr>
                </pic:pic>
              </a:graphicData>
            </a:graphic>
            <wp14:sizeRelV relativeFrom="margin">
              <wp14:pctHeight>0</wp14:pctHeight>
            </wp14:sizeRelV>
          </wp:anchor>
        </w:drawing>
      </w:r>
      <w:r w:rsidR="00D17C85" w:rsidRPr="00693321">
        <w:rPr>
          <w:rFonts w:ascii="Arial Black" w:hAnsi="Arial Black"/>
        </w:rPr>
        <w:t>Figure</w:t>
      </w:r>
      <w:r w:rsidR="00D272C1" w:rsidRPr="00693321">
        <w:rPr>
          <w:rFonts w:ascii="Arial Black" w:hAnsi="Arial Black"/>
        </w:rPr>
        <w:t xml:space="preserve"> </w:t>
      </w:r>
      <w:r w:rsidR="00793B52" w:rsidRPr="00693321">
        <w:rPr>
          <w:rFonts w:ascii="Arial Black" w:hAnsi="Arial Black"/>
          <w:b/>
          <w:bCs/>
        </w:rPr>
        <w:fldChar w:fldCharType="begin"/>
      </w:r>
      <w:r w:rsidR="00793B52" w:rsidRPr="00693321">
        <w:rPr>
          <w:rFonts w:ascii="Arial Black" w:hAnsi="Arial Black"/>
          <w:b/>
          <w:bCs/>
        </w:rPr>
        <w:instrText xml:space="preserve"> SEQ Figure \* ARABIC </w:instrText>
      </w:r>
      <w:r w:rsidR="00793B52" w:rsidRPr="00693321">
        <w:rPr>
          <w:rFonts w:ascii="Arial Black" w:hAnsi="Arial Black"/>
          <w:b/>
          <w:bCs/>
        </w:rPr>
        <w:fldChar w:fldCharType="separate"/>
      </w:r>
      <w:r w:rsidR="00793B52" w:rsidRPr="00693321">
        <w:rPr>
          <w:rFonts w:ascii="Arial Black" w:hAnsi="Arial Black"/>
          <w:b/>
          <w:bCs/>
          <w:noProof/>
        </w:rPr>
        <w:t>13</w:t>
      </w:r>
      <w:r w:rsidR="00793B52" w:rsidRPr="00693321">
        <w:rPr>
          <w:rFonts w:ascii="Arial Black" w:hAnsi="Arial Black"/>
          <w:b/>
          <w:bCs/>
        </w:rPr>
        <w:fldChar w:fldCharType="end"/>
      </w:r>
      <w:r w:rsidR="00D17C85" w:rsidRPr="00693321">
        <w:rPr>
          <w:rFonts w:ascii="Arial Black" w:hAnsi="Arial Black"/>
          <w:b/>
          <w:bCs/>
        </w:rPr>
        <w:t>:</w:t>
      </w:r>
      <w:r>
        <w:rPr>
          <w:rFonts w:ascii="Arial Black" w:hAnsi="Arial Black"/>
          <w:b/>
          <w:bCs/>
        </w:rPr>
        <w:t xml:space="preserve"> </w:t>
      </w:r>
      <w:r w:rsidR="00A76322" w:rsidRPr="00693321">
        <w:rPr>
          <w:rFonts w:ascii="Arial Black" w:hAnsi="Arial Black"/>
          <w:b/>
          <w:bCs/>
        </w:rPr>
        <w:t>Expenditure Trend</w:t>
      </w:r>
      <w:bookmarkEnd w:id="65"/>
    </w:p>
    <w:p w:rsidR="003E4003" w:rsidRPr="003E4003" w:rsidRDefault="003E4003" w:rsidP="003E4003">
      <w:pPr>
        <w:pStyle w:val="NumberedPara"/>
        <w:numPr>
          <w:ilvl w:val="0"/>
          <w:numId w:val="0"/>
        </w:numPr>
        <w:ind w:left="1287" w:hanging="567"/>
        <w:rPr>
          <w:rFonts w:ascii="Arial Black" w:hAnsi="Arial Black"/>
        </w:rPr>
      </w:pPr>
    </w:p>
    <w:p w:rsidR="00A76322" w:rsidRDefault="00F06E16" w:rsidP="00F50EC3">
      <w:pPr>
        <w:pStyle w:val="NumberedPara"/>
        <w:tabs>
          <w:tab w:val="clear" w:pos="1287"/>
          <w:tab w:val="num" w:pos="540"/>
        </w:tabs>
        <w:ind w:left="540"/>
      </w:pPr>
      <w:r>
        <w:lastRenderedPageBreak/>
        <w:t xml:space="preserve">The </w:t>
      </w:r>
      <w:r w:rsidR="00A61242">
        <w:t xml:space="preserve">Figure </w:t>
      </w:r>
      <w:r>
        <w:t>1</w:t>
      </w:r>
      <w:r w:rsidR="005167C1">
        <w:t>3</w:t>
      </w:r>
      <w:r>
        <w:t xml:space="preserve"> above comprises </w:t>
      </w:r>
      <w:r w:rsidR="00A61242">
        <w:t xml:space="preserve">of </w:t>
      </w:r>
      <w:r>
        <w:t>the trend of personnel, Overhead, Capital and CRF Cha</w:t>
      </w:r>
      <w:r w:rsidR="00FD111B">
        <w:t>rges b</w:t>
      </w:r>
      <w:r w:rsidR="004E0127">
        <w:t>oth historical</w:t>
      </w:r>
      <w:r w:rsidR="00D272C1">
        <w:t xml:space="preserve"> from year 2015</w:t>
      </w:r>
      <w:r w:rsidR="00C31CE3">
        <w:t>-</w:t>
      </w:r>
      <w:r w:rsidR="00D272C1">
        <w:t>2020</w:t>
      </w:r>
      <w:r w:rsidR="007D4E71">
        <w:t xml:space="preserve"> </w:t>
      </w:r>
      <w:r w:rsidR="00D272C1">
        <w:t>and forecast from year 2021-2024</w:t>
      </w:r>
      <w:r w:rsidR="0021611D">
        <w:t xml:space="preserve"> with </w:t>
      </w:r>
      <w:r w:rsidR="00D272C1">
        <w:t>average</w:t>
      </w:r>
      <w:r w:rsidR="00C31CE3">
        <w:t xml:space="preserve"> </w:t>
      </w:r>
      <w:r w:rsidR="007D4E71">
        <w:t>anticipation</w:t>
      </w:r>
      <w:r>
        <w:t xml:space="preserve">. </w:t>
      </w:r>
    </w:p>
    <w:p w:rsidR="00A76322" w:rsidRDefault="00A76322" w:rsidP="00E20E13">
      <w:pPr>
        <w:pStyle w:val="NumberedPara"/>
        <w:numPr>
          <w:ilvl w:val="0"/>
          <w:numId w:val="0"/>
        </w:numPr>
      </w:pPr>
    </w:p>
    <w:p w:rsidR="003E4003" w:rsidRDefault="003E4003">
      <w:pPr>
        <w:spacing w:before="0" w:after="0"/>
        <w:rPr>
          <w:b/>
          <w:bCs/>
          <w:szCs w:val="28"/>
        </w:rPr>
      </w:pPr>
      <w:r>
        <w:br w:type="page"/>
      </w:r>
    </w:p>
    <w:p w:rsidR="003E4003" w:rsidRDefault="003E4003" w:rsidP="003E4003">
      <w:pPr>
        <w:pStyle w:val="Heading4"/>
        <w:sectPr w:rsidR="003E4003" w:rsidSect="00A76322">
          <w:headerReference w:type="even" r:id="rId48"/>
          <w:headerReference w:type="default" r:id="rId49"/>
          <w:footerReference w:type="default" r:id="rId50"/>
          <w:headerReference w:type="first" r:id="rId51"/>
          <w:pgSz w:w="11906" w:h="16838" w:code="9"/>
          <w:pgMar w:top="1440" w:right="1797" w:bottom="1258" w:left="1440" w:header="709" w:footer="709" w:gutter="0"/>
          <w:pgNumType w:start="1"/>
          <w:cols w:space="708"/>
          <w:docGrid w:linePitch="360"/>
        </w:sectPr>
      </w:pPr>
    </w:p>
    <w:p w:rsidR="003E4003" w:rsidRDefault="003E4003" w:rsidP="00A76322">
      <w:pPr>
        <w:pStyle w:val="Caption"/>
      </w:pPr>
      <w:bookmarkStart w:id="66" w:name="_Toc79827149"/>
      <w:r>
        <w:lastRenderedPageBreak/>
        <w:t xml:space="preserve">By Sector </w:t>
      </w:r>
    </w:p>
    <w:p w:rsidR="00A76322" w:rsidRDefault="00A76322" w:rsidP="00A76322">
      <w:pPr>
        <w:pStyle w:val="Caption"/>
      </w:pPr>
      <w:r>
        <w:t xml:space="preserve">Table </w:t>
      </w:r>
      <w:r w:rsidR="00DF033A">
        <w:fldChar w:fldCharType="begin"/>
      </w:r>
      <w:r>
        <w:instrText xml:space="preserve"> SEQ Table \* ARABIC </w:instrText>
      </w:r>
      <w:r w:rsidR="00DF033A">
        <w:fldChar w:fldCharType="separate"/>
      </w:r>
      <w:r w:rsidR="007A24D6">
        <w:rPr>
          <w:noProof/>
        </w:rPr>
        <w:t>6</w:t>
      </w:r>
      <w:r w:rsidR="00DF033A">
        <w:fldChar w:fldCharType="end"/>
      </w:r>
      <w:r>
        <w:t>: Sector Expenditure – Budget Vs Actual</w:t>
      </w:r>
      <w:bookmarkEnd w:id="66"/>
    </w:p>
    <w:p w:rsidR="00A76322" w:rsidRPr="00C3667E" w:rsidRDefault="00DC268D" w:rsidP="004F3487">
      <w:pPr>
        <w:pStyle w:val="Caption"/>
      </w:pPr>
      <w:r>
        <w:t xml:space="preserve">Sector Personnel </w:t>
      </w:r>
      <w:r w:rsidRPr="00C428D0">
        <w:t>Expenditure – Budget Vs Actual</w:t>
      </w:r>
    </w:p>
    <w:p w:rsidR="000E6A22" w:rsidRDefault="000E6A22" w:rsidP="007E0012">
      <w:pPr>
        <w:jc w:val="center"/>
      </w:pPr>
      <w:r w:rsidRPr="000E6A22">
        <w:rPr>
          <w:noProof/>
          <w:lang w:val="en-US" w:eastAsia="en-US"/>
        </w:rPr>
        <w:drawing>
          <wp:inline distT="0" distB="0" distL="0" distR="0">
            <wp:extent cx="8978900" cy="676594"/>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78900" cy="676594"/>
                    </a:xfrm>
                    <a:prstGeom prst="rect">
                      <a:avLst/>
                    </a:prstGeom>
                    <a:noFill/>
                    <a:ln>
                      <a:noFill/>
                    </a:ln>
                  </pic:spPr>
                </pic:pic>
              </a:graphicData>
            </a:graphic>
          </wp:inline>
        </w:drawing>
      </w:r>
    </w:p>
    <w:p w:rsidR="00AD7698" w:rsidRDefault="00AD7698" w:rsidP="00F50EC3">
      <w:pPr>
        <w:pStyle w:val="NumberedPara"/>
        <w:tabs>
          <w:tab w:val="clear" w:pos="1287"/>
        </w:tabs>
        <w:ind w:left="540"/>
      </w:pPr>
      <w:r>
        <w:t xml:space="preserve">Performance </w:t>
      </w:r>
      <w:r w:rsidR="00A07A99">
        <w:t xml:space="preserve">of Personnel expenditure </w:t>
      </w:r>
      <w:r w:rsidR="005E129D">
        <w:t>by sector over the period 2017-2020</w:t>
      </w:r>
      <w:r w:rsidR="004A6C1E">
        <w:t xml:space="preserve"> is as shown in Table 6 above.  </w:t>
      </w:r>
      <w:r>
        <w:t>Administrative Sector, Economic Sector, Law &amp;</w:t>
      </w:r>
      <w:r w:rsidR="005F274D">
        <w:t xml:space="preserve"> Justice Sector</w:t>
      </w:r>
      <w:r>
        <w:t xml:space="preserve"> and Social Sector</w:t>
      </w:r>
      <w:r w:rsidR="005E129D">
        <w:t xml:space="preserve"> all performed at more than 70</w:t>
      </w:r>
      <w:r>
        <w:t>%</w:t>
      </w:r>
      <w:r w:rsidR="00EF33F7">
        <w:t xml:space="preserve">. Personnel Cost by sector </w:t>
      </w:r>
      <w:r w:rsidR="005E129D">
        <w:t>performed in the range 70</w:t>
      </w:r>
      <w:r w:rsidR="00F31FC2">
        <w:t>.</w:t>
      </w:r>
      <w:r w:rsidR="005E129D">
        <w:t>75%-118.33</w:t>
      </w:r>
      <w:r w:rsidR="005264E9">
        <w:t>%</w:t>
      </w:r>
      <w:r w:rsidR="00EF33F7">
        <w:t xml:space="preserve"> in the years</w:t>
      </w:r>
      <w:r w:rsidR="005264E9">
        <w:t xml:space="preserve">. </w:t>
      </w:r>
      <w:r w:rsidR="00396F27">
        <w:t>The highest performing sector w</w:t>
      </w:r>
      <w:r w:rsidR="005E129D">
        <w:t>as Administrative Sector with 118</w:t>
      </w:r>
      <w:r w:rsidR="00F9553B">
        <w:t>.</w:t>
      </w:r>
      <w:r w:rsidR="005E129D">
        <w:t>33</w:t>
      </w:r>
      <w:r w:rsidR="00396F27">
        <w:t>% while t</w:t>
      </w:r>
      <w:r w:rsidR="005264E9">
        <w:t>he least</w:t>
      </w:r>
      <w:r>
        <w:t xml:space="preserve"> performing secto</w:t>
      </w:r>
      <w:r w:rsidR="00A07A99">
        <w:t>r was</w:t>
      </w:r>
      <w:r w:rsidR="00203AF4">
        <w:t xml:space="preserve"> </w:t>
      </w:r>
      <w:r w:rsidR="00F9553B">
        <w:t>Law and Justice</w:t>
      </w:r>
      <w:r w:rsidR="00A07A99">
        <w:t xml:space="preserve"> Sector</w:t>
      </w:r>
      <w:r w:rsidR="00F9553B">
        <w:t xml:space="preserve"> with </w:t>
      </w:r>
      <w:r w:rsidR="005E129D">
        <w:t>70.75</w:t>
      </w:r>
      <w:r w:rsidR="001073D8">
        <w:t>%</w:t>
      </w:r>
      <w:r>
        <w:t>.</w:t>
      </w:r>
    </w:p>
    <w:p w:rsidR="00AB51CB" w:rsidRDefault="00DC268D" w:rsidP="004F3487">
      <w:pPr>
        <w:pStyle w:val="Caption"/>
      </w:pPr>
      <w:r>
        <w:t xml:space="preserve">Sector Overhead </w:t>
      </w:r>
      <w:r w:rsidRPr="00C428D0">
        <w:t>Expenditure – Budget Vs Actual</w:t>
      </w:r>
    </w:p>
    <w:p w:rsidR="000E6A22" w:rsidRDefault="000E6A22" w:rsidP="009604E4">
      <w:pPr>
        <w:jc w:val="center"/>
      </w:pPr>
      <w:r w:rsidRPr="000E6A22">
        <w:rPr>
          <w:noProof/>
          <w:lang w:val="en-US" w:eastAsia="en-US"/>
        </w:rPr>
        <w:drawing>
          <wp:inline distT="0" distB="0" distL="0" distR="0">
            <wp:extent cx="8978900" cy="676594"/>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78900" cy="676594"/>
                    </a:xfrm>
                    <a:prstGeom prst="rect">
                      <a:avLst/>
                    </a:prstGeom>
                    <a:noFill/>
                    <a:ln>
                      <a:noFill/>
                    </a:ln>
                  </pic:spPr>
                </pic:pic>
              </a:graphicData>
            </a:graphic>
          </wp:inline>
        </w:drawing>
      </w:r>
    </w:p>
    <w:p w:rsidR="00A07A99" w:rsidRPr="005F274D" w:rsidRDefault="00A07A99" w:rsidP="00F50EC3">
      <w:pPr>
        <w:pStyle w:val="NumberedPara"/>
        <w:tabs>
          <w:tab w:val="clear" w:pos="1287"/>
          <w:tab w:val="num" w:pos="540"/>
        </w:tabs>
        <w:ind w:left="540"/>
      </w:pPr>
      <w:r w:rsidRPr="005F274D">
        <w:t>Performance of Overhead expenditur</w:t>
      </w:r>
      <w:r w:rsidR="005E129D">
        <w:t>e by sector over the period 2017-2020</w:t>
      </w:r>
      <w:r w:rsidR="004A6C1E" w:rsidRPr="005F274D">
        <w:t xml:space="preserve"> is depicted above. </w:t>
      </w:r>
      <w:r w:rsidRPr="005F274D">
        <w:t>Administrative Sector, Economic Sector, Law &amp;</w:t>
      </w:r>
      <w:r w:rsidR="004979F9" w:rsidRPr="005F274D">
        <w:t xml:space="preserve"> Justice Sector</w:t>
      </w:r>
      <w:r w:rsidRPr="005F274D">
        <w:t xml:space="preserve"> and Social Sector all performed at more than </w:t>
      </w:r>
      <w:r w:rsidR="005E129D">
        <w:t>65</w:t>
      </w:r>
      <w:r w:rsidRPr="005F274D">
        <w:t>%. Over</w:t>
      </w:r>
      <w:r w:rsidR="00EF33F7" w:rsidRPr="005F274D">
        <w:t xml:space="preserve">head expenditure by sector, </w:t>
      </w:r>
      <w:r w:rsidR="004B1BB5" w:rsidRPr="005F274D">
        <w:t xml:space="preserve">performance </w:t>
      </w:r>
      <w:r w:rsidRPr="005F274D">
        <w:t xml:space="preserve">range </w:t>
      </w:r>
      <w:r w:rsidR="005E129D">
        <w:t>from 65</w:t>
      </w:r>
      <w:r w:rsidR="004979F9" w:rsidRPr="005F274D">
        <w:t>.</w:t>
      </w:r>
      <w:r w:rsidR="005E129D">
        <w:t>10</w:t>
      </w:r>
      <w:r w:rsidR="004979F9" w:rsidRPr="005F274D">
        <w:t>%-</w:t>
      </w:r>
      <w:r w:rsidR="005E129D">
        <w:t>113.34</w:t>
      </w:r>
      <w:r w:rsidR="005264E9" w:rsidRPr="005F274D">
        <w:t>%</w:t>
      </w:r>
      <w:r w:rsidR="00EF33F7" w:rsidRPr="005F274D">
        <w:t xml:space="preserve"> in the years</w:t>
      </w:r>
      <w:r w:rsidR="005264E9" w:rsidRPr="005F274D">
        <w:t xml:space="preserve">. </w:t>
      </w:r>
      <w:r w:rsidR="00396F27" w:rsidRPr="005F274D">
        <w:t>The highes</w:t>
      </w:r>
      <w:r w:rsidR="00F9553B">
        <w:t>t performing sector was Administrative</w:t>
      </w:r>
      <w:r w:rsidR="00396F27" w:rsidRPr="005F274D">
        <w:t xml:space="preserve"> Sector with </w:t>
      </w:r>
      <w:r w:rsidR="004E0AAD">
        <w:t>113.34</w:t>
      </w:r>
      <w:r w:rsidR="00396F27" w:rsidRPr="005F274D">
        <w:t>% while the</w:t>
      </w:r>
      <w:r w:rsidR="005264E9" w:rsidRPr="005F274D">
        <w:t xml:space="preserve"> least</w:t>
      </w:r>
      <w:r w:rsidR="005F274D" w:rsidRPr="005F274D">
        <w:t xml:space="preserve"> performing sector was Law and Justice</w:t>
      </w:r>
      <w:r w:rsidRPr="005F274D">
        <w:t xml:space="preserve"> Sector with </w:t>
      </w:r>
      <w:r w:rsidR="004E0AAD">
        <w:t>65</w:t>
      </w:r>
      <w:r w:rsidR="004E0AAD" w:rsidRPr="005F274D">
        <w:t>.</w:t>
      </w:r>
      <w:r w:rsidR="004E0AAD">
        <w:t>10</w:t>
      </w:r>
      <w:r w:rsidR="001073D8" w:rsidRPr="005F274D">
        <w:t>%</w:t>
      </w:r>
      <w:r w:rsidRPr="005F274D">
        <w:t>.</w:t>
      </w:r>
    </w:p>
    <w:p w:rsidR="00AB51CB" w:rsidRDefault="00DC268D" w:rsidP="004F3487">
      <w:pPr>
        <w:pStyle w:val="Caption"/>
      </w:pPr>
      <w:bookmarkStart w:id="67" w:name="_Toc428353376"/>
      <w:r w:rsidRPr="00C428D0">
        <w:t xml:space="preserve">Sector </w:t>
      </w:r>
      <w:r>
        <w:t xml:space="preserve">Capital </w:t>
      </w:r>
      <w:r w:rsidRPr="00C428D0">
        <w:t>Expenditure – Budget Vs Actual</w:t>
      </w:r>
      <w:bookmarkEnd w:id="67"/>
    </w:p>
    <w:p w:rsidR="000E6A22" w:rsidRDefault="000E6A22" w:rsidP="007E0012">
      <w:pPr>
        <w:jc w:val="center"/>
      </w:pPr>
      <w:r w:rsidRPr="000E6A22">
        <w:rPr>
          <w:noProof/>
          <w:lang w:val="en-US" w:eastAsia="en-US"/>
        </w:rPr>
        <w:drawing>
          <wp:inline distT="0" distB="0" distL="0" distR="0">
            <wp:extent cx="8978900" cy="676594"/>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78900" cy="676594"/>
                    </a:xfrm>
                    <a:prstGeom prst="rect">
                      <a:avLst/>
                    </a:prstGeom>
                    <a:noFill/>
                    <a:ln>
                      <a:noFill/>
                    </a:ln>
                  </pic:spPr>
                </pic:pic>
              </a:graphicData>
            </a:graphic>
          </wp:inline>
        </w:drawing>
      </w:r>
    </w:p>
    <w:p w:rsidR="002B6852" w:rsidRPr="00022318" w:rsidRDefault="001073D8" w:rsidP="00F50EC3">
      <w:pPr>
        <w:pStyle w:val="NumberedPara"/>
        <w:tabs>
          <w:tab w:val="clear" w:pos="1287"/>
        </w:tabs>
        <w:ind w:left="540"/>
        <w:jc w:val="left"/>
        <w:sectPr w:rsidR="002B6852" w:rsidRPr="00022318" w:rsidSect="004F3487">
          <w:pgSz w:w="16838" w:h="11906" w:orient="landscape" w:code="9"/>
          <w:pgMar w:top="1440" w:right="1440" w:bottom="1797" w:left="1258" w:header="709" w:footer="709" w:gutter="0"/>
          <w:cols w:space="708"/>
          <w:docGrid w:linePitch="360"/>
        </w:sectPr>
      </w:pPr>
      <w:r w:rsidRPr="00022318">
        <w:t xml:space="preserve">Performance of Capital expenditure by sector </w:t>
      </w:r>
      <w:r w:rsidR="004A6C1E" w:rsidRPr="00022318">
        <w:t>was not encouraging over</w:t>
      </w:r>
      <w:r w:rsidR="004E0AAD">
        <w:t xml:space="preserve"> the period 2017-2020</w:t>
      </w:r>
      <w:r w:rsidR="004A6C1E" w:rsidRPr="00022318">
        <w:t xml:space="preserve">. </w:t>
      </w:r>
      <w:r w:rsidRPr="00022318">
        <w:t>Administrative Sector, Economic Sector, Law &amp;</w:t>
      </w:r>
      <w:r w:rsidR="005F274D" w:rsidRPr="00022318">
        <w:t xml:space="preserve"> Justice Sector</w:t>
      </w:r>
      <w:r w:rsidRPr="00022318">
        <w:t xml:space="preserve"> and Social Sect</w:t>
      </w:r>
      <w:r w:rsidR="004E0AAD">
        <w:t>or all performed at less than 30</w:t>
      </w:r>
      <w:r w:rsidRPr="00022318">
        <w:t>%. Ca</w:t>
      </w:r>
      <w:r w:rsidR="00FB0728" w:rsidRPr="00022318">
        <w:t xml:space="preserve">pital expenditure by sector </w:t>
      </w:r>
      <w:r w:rsidRPr="00022318">
        <w:t>performed in th</w:t>
      </w:r>
      <w:r w:rsidR="00396F27" w:rsidRPr="00022318">
        <w:t xml:space="preserve">e range </w:t>
      </w:r>
      <w:r w:rsidR="00AA54A3" w:rsidRPr="00022318">
        <w:t xml:space="preserve">of </w:t>
      </w:r>
      <w:r w:rsidR="004E0AAD">
        <w:t>14.35-29.35</w:t>
      </w:r>
      <w:r w:rsidR="005264E9" w:rsidRPr="00022318">
        <w:t xml:space="preserve">%. </w:t>
      </w:r>
      <w:r w:rsidR="0067266E" w:rsidRPr="00022318">
        <w:lastRenderedPageBreak/>
        <w:t>The highes</w:t>
      </w:r>
      <w:r w:rsidR="00022318" w:rsidRPr="00022318">
        <w:t xml:space="preserve">t </w:t>
      </w:r>
      <w:r w:rsidR="00F9553B">
        <w:t>performing sector was Economic</w:t>
      </w:r>
      <w:r w:rsidR="0067266E" w:rsidRPr="00022318">
        <w:t xml:space="preserve"> Sector</w:t>
      </w:r>
      <w:r w:rsidR="004E0AAD">
        <w:t xml:space="preserve"> with 29.35</w:t>
      </w:r>
      <w:r w:rsidR="0067266E" w:rsidRPr="00022318">
        <w:t>% while the</w:t>
      </w:r>
      <w:r w:rsidR="005264E9" w:rsidRPr="00022318">
        <w:t xml:space="preserve"> least</w:t>
      </w:r>
      <w:r w:rsidRPr="00022318">
        <w:t xml:space="preserve"> performing secto</w:t>
      </w:r>
      <w:r w:rsidR="0067266E" w:rsidRPr="00022318">
        <w:t xml:space="preserve">r was </w:t>
      </w:r>
      <w:r w:rsidR="00022318" w:rsidRPr="00022318">
        <w:t>Administrative</w:t>
      </w:r>
      <w:r w:rsidR="0067266E" w:rsidRPr="00022318">
        <w:t xml:space="preserve"> Sector with </w:t>
      </w:r>
      <w:r w:rsidR="00F9553B">
        <w:t>1</w:t>
      </w:r>
      <w:r w:rsidR="004E0AAD">
        <w:t>4.29</w:t>
      </w:r>
      <w:r w:rsidRPr="00022318">
        <w:t>%.</w:t>
      </w:r>
      <w:r w:rsidR="005264E9" w:rsidRPr="00022318">
        <w:t xml:space="preserve"> Generally, the performance of capital expenditure was very low when compare</w:t>
      </w:r>
      <w:r w:rsidR="00C364B4" w:rsidRPr="00022318">
        <w:t>d to</w:t>
      </w:r>
      <w:r w:rsidR="005264E9" w:rsidRPr="00022318">
        <w:t xml:space="preserve"> personnel and overhead expenditures.</w:t>
      </w:r>
    </w:p>
    <w:p w:rsidR="00A76322" w:rsidRDefault="00A76322" w:rsidP="00A76322">
      <w:pPr>
        <w:pStyle w:val="Heading3"/>
        <w:numPr>
          <w:ilvl w:val="0"/>
          <w:numId w:val="0"/>
        </w:numPr>
      </w:pPr>
      <w:bookmarkStart w:id="68" w:name="_Toc340053644"/>
      <w:bookmarkStart w:id="69" w:name="_Toc79827015"/>
      <w:r>
        <w:lastRenderedPageBreak/>
        <w:t>2.B.2</w:t>
      </w:r>
      <w:r>
        <w:tab/>
        <w:t>Debt Position</w:t>
      </w:r>
      <w:bookmarkEnd w:id="68"/>
      <w:bookmarkEnd w:id="69"/>
    </w:p>
    <w:p w:rsidR="00A76322" w:rsidRPr="00A735A4" w:rsidRDefault="00A76322" w:rsidP="00E428F9">
      <w:pPr>
        <w:pStyle w:val="NumberedPara"/>
        <w:tabs>
          <w:tab w:val="clear" w:pos="1287"/>
          <w:tab w:val="num" w:pos="540"/>
        </w:tabs>
        <w:ind w:left="540" w:hanging="540"/>
      </w:pPr>
      <w:r>
        <w:t>A summary of the consolidated debt position for Kogi State Government is provided in the table below.</w:t>
      </w:r>
    </w:p>
    <w:p w:rsidR="00A76322" w:rsidRDefault="000E6A22" w:rsidP="00A76322">
      <w:pPr>
        <w:pStyle w:val="StyleCaptionCentered"/>
      </w:pPr>
      <w:bookmarkStart w:id="70" w:name="_Toc79827150"/>
      <w:r w:rsidRPr="000E6A22">
        <w:rPr>
          <w:noProof/>
          <w:lang w:val="en-US" w:eastAsia="en-US"/>
        </w:rPr>
        <w:drawing>
          <wp:anchor distT="0" distB="0" distL="114300" distR="114300" simplePos="0" relativeHeight="251672576" behindDoc="0" locked="0" layoutInCell="1" allowOverlap="1">
            <wp:simplePos x="0" y="0"/>
            <wp:positionH relativeFrom="margin">
              <wp:align>left</wp:align>
            </wp:positionH>
            <wp:positionV relativeFrom="paragraph">
              <wp:posOffset>286385</wp:posOffset>
            </wp:positionV>
            <wp:extent cx="6137910" cy="4434840"/>
            <wp:effectExtent l="0" t="0" r="0" b="3810"/>
            <wp:wrapThrough wrapText="bothSides">
              <wp:wrapPolygon edited="0">
                <wp:start x="0" y="0"/>
                <wp:lineTo x="0" y="21526"/>
                <wp:lineTo x="21520" y="21526"/>
                <wp:lineTo x="21520" y="19577"/>
                <wp:lineTo x="15754" y="19299"/>
                <wp:lineTo x="21520" y="18928"/>
                <wp:lineTo x="21520" y="7608"/>
                <wp:lineTo x="21453" y="7515"/>
                <wp:lineTo x="21184" y="7423"/>
                <wp:lineTo x="21520" y="6773"/>
                <wp:lineTo x="21520" y="1577"/>
                <wp:lineTo x="19240" y="1485"/>
                <wp:lineTo x="21520" y="928"/>
                <wp:lineTo x="21520" y="0"/>
                <wp:lineTo x="0" y="0"/>
              </wp:wrapPolygon>
            </wp:wrapThrough>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37910" cy="443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6322">
        <w:t xml:space="preserve">Table </w:t>
      </w:r>
      <w:r w:rsidR="00DF033A">
        <w:fldChar w:fldCharType="begin"/>
      </w:r>
      <w:r w:rsidR="00A76322">
        <w:instrText xml:space="preserve"> SEQ Table \* ARABIC </w:instrText>
      </w:r>
      <w:r w:rsidR="00DF033A">
        <w:fldChar w:fldCharType="separate"/>
      </w:r>
      <w:r w:rsidR="007A24D6">
        <w:rPr>
          <w:noProof/>
        </w:rPr>
        <w:t>7</w:t>
      </w:r>
      <w:r w:rsidR="00DF033A">
        <w:fldChar w:fldCharType="end"/>
      </w:r>
      <w:r w:rsidR="00A76322">
        <w:t>: Debt Position as at 31</w:t>
      </w:r>
      <w:r w:rsidR="00A76322" w:rsidRPr="009E6369">
        <w:rPr>
          <w:vertAlign w:val="superscript"/>
        </w:rPr>
        <w:t>st</w:t>
      </w:r>
      <w:r w:rsidR="00A76322">
        <w:t xml:space="preserve"> December 20</w:t>
      </w:r>
      <w:r w:rsidR="00556F42">
        <w:t>20</w:t>
      </w:r>
      <w:bookmarkEnd w:id="70"/>
    </w:p>
    <w:p w:rsidR="00A76322" w:rsidRPr="009E6369" w:rsidRDefault="00A76322" w:rsidP="00B5741E">
      <w:pPr>
        <w:jc w:val="center"/>
      </w:pPr>
    </w:p>
    <w:p w:rsidR="00875A27" w:rsidRPr="00AA01FE" w:rsidRDefault="00391A58" w:rsidP="00E84E56">
      <w:pPr>
        <w:pStyle w:val="NumberedPara"/>
        <w:tabs>
          <w:tab w:val="clear" w:pos="1287"/>
          <w:tab w:val="num" w:pos="540"/>
        </w:tabs>
        <w:ind w:left="540"/>
        <w:rPr>
          <w:color w:val="000000"/>
        </w:rPr>
      </w:pPr>
      <w:r w:rsidRPr="00AA01FE">
        <w:rPr>
          <w:color w:val="000000"/>
        </w:rPr>
        <w:t xml:space="preserve">Given the above table, the state performance is impressive in </w:t>
      </w:r>
      <w:r w:rsidR="00875A27" w:rsidRPr="00AA01FE">
        <w:rPr>
          <w:color w:val="000000"/>
        </w:rPr>
        <w:t>these areas: Total external debt to total revenue;</w:t>
      </w:r>
      <w:r w:rsidR="002020F6">
        <w:rPr>
          <w:color w:val="000000"/>
        </w:rPr>
        <w:t xml:space="preserve"> Total Public Debt/Total Revenue;</w:t>
      </w:r>
      <w:r w:rsidR="00875A27" w:rsidRPr="00AA01FE">
        <w:rPr>
          <w:color w:val="000000"/>
        </w:rPr>
        <w:t xml:space="preserve"> external</w:t>
      </w:r>
      <w:r w:rsidR="002020F6">
        <w:rPr>
          <w:color w:val="000000"/>
        </w:rPr>
        <w:t xml:space="preserve"> debt service to total revenue </w:t>
      </w:r>
      <w:r w:rsidR="00875A27" w:rsidRPr="00AA01FE">
        <w:rPr>
          <w:color w:val="000000"/>
        </w:rPr>
        <w:t>while</w:t>
      </w:r>
      <w:r w:rsidR="002020F6">
        <w:rPr>
          <w:color w:val="000000"/>
        </w:rPr>
        <w:t xml:space="preserve"> Total Domestic Debt/Total Recurrent Revenue; Total Domestic Debt/IGR;</w:t>
      </w:r>
      <w:r w:rsidR="00875A27" w:rsidRPr="00AA01FE">
        <w:rPr>
          <w:color w:val="000000"/>
        </w:rPr>
        <w:t xml:space="preserve"> </w:t>
      </w:r>
      <w:r w:rsidR="00694AF0" w:rsidRPr="00AA01FE">
        <w:rPr>
          <w:color w:val="000000"/>
        </w:rPr>
        <w:t xml:space="preserve">Total Debt Service </w:t>
      </w:r>
      <w:r w:rsidR="002020F6" w:rsidRPr="00AA01FE">
        <w:rPr>
          <w:color w:val="000000"/>
        </w:rPr>
        <w:t>to total revenue</w:t>
      </w:r>
      <w:r w:rsidR="00694AF0">
        <w:rPr>
          <w:color w:val="000000"/>
        </w:rPr>
        <w:t xml:space="preserve"> and Domestic Debt Service/IGR</w:t>
      </w:r>
      <w:r w:rsidR="00E833BA">
        <w:rPr>
          <w:color w:val="000000"/>
        </w:rPr>
        <w:t xml:space="preserve"> are</w:t>
      </w:r>
      <w:r w:rsidR="00875A27" w:rsidRPr="00AA01FE">
        <w:rPr>
          <w:color w:val="000000"/>
        </w:rPr>
        <w:t xml:space="preserve"> not impressive. </w:t>
      </w:r>
    </w:p>
    <w:p w:rsidR="00A76322" w:rsidRDefault="00AA01FE" w:rsidP="00E84E56">
      <w:pPr>
        <w:pStyle w:val="NumberedPara"/>
        <w:tabs>
          <w:tab w:val="clear" w:pos="1287"/>
          <w:tab w:val="num" w:pos="540"/>
        </w:tabs>
        <w:ind w:left="540"/>
      </w:pPr>
      <w:r w:rsidRPr="001928D5">
        <w:rPr>
          <w:color w:val="000000"/>
        </w:rPr>
        <w:t>In the interim, despite the risk pose by</w:t>
      </w:r>
      <w:r w:rsidR="00E469E5" w:rsidRPr="001928D5">
        <w:rPr>
          <w:color w:val="000000"/>
        </w:rPr>
        <w:t xml:space="preserve"> foreign exchange</w:t>
      </w:r>
      <w:r w:rsidRPr="001928D5">
        <w:rPr>
          <w:color w:val="000000"/>
        </w:rPr>
        <w:t>,</w:t>
      </w:r>
      <w:r w:rsidR="00E469E5" w:rsidRPr="001928D5">
        <w:rPr>
          <w:color w:val="000000"/>
        </w:rPr>
        <w:t xml:space="preserve"> foreign loans present </w:t>
      </w:r>
      <w:r w:rsidR="001928D5">
        <w:rPr>
          <w:color w:val="000000"/>
        </w:rPr>
        <w:t xml:space="preserve">brighter window </w:t>
      </w:r>
    </w:p>
    <w:p w:rsidR="00A76322" w:rsidRDefault="00A76322" w:rsidP="00A76322">
      <w:pPr>
        <w:pStyle w:val="Heading2"/>
      </w:pPr>
      <w:bookmarkStart w:id="71" w:name="_Toc454798309"/>
      <w:bookmarkStart w:id="72" w:name="_Toc79827016"/>
      <w:r>
        <w:t>Macroeconomic Framework</w:t>
      </w:r>
      <w:bookmarkEnd w:id="71"/>
      <w:bookmarkEnd w:id="72"/>
    </w:p>
    <w:p w:rsidR="00A76322" w:rsidRDefault="00A76322" w:rsidP="001D6B67">
      <w:pPr>
        <w:pStyle w:val="NumberedPara"/>
        <w:tabs>
          <w:tab w:val="clear" w:pos="1287"/>
          <w:tab w:val="num" w:pos="540"/>
        </w:tabs>
        <w:ind w:left="540" w:hanging="540"/>
      </w:pPr>
      <w:r>
        <w:t>The Macroeconomic framework is based o</w:t>
      </w:r>
      <w:r w:rsidR="00067628">
        <w:t>n</w:t>
      </w:r>
      <w:r w:rsidR="00B2100C" w:rsidRPr="00B2100C">
        <w:t xml:space="preserve"> the latest Nigerian National real GDP growth and inflation </w:t>
      </w:r>
      <w:r w:rsidR="00250873">
        <w:t xml:space="preserve">represented by Consumer Price Index </w:t>
      </w:r>
      <w:r w:rsidR="00B2100C" w:rsidRPr="00B2100C">
        <w:t>(</w:t>
      </w:r>
      <w:r w:rsidR="00067628">
        <w:t>CPI)</w:t>
      </w:r>
      <w:r w:rsidR="00352FB3">
        <w:t xml:space="preserve"> as estimated in the April, 2021</w:t>
      </w:r>
      <w:r w:rsidR="00B2100C" w:rsidRPr="00B2100C">
        <w:t xml:space="preserve"> IMF World Economic Outlook document.  The Oil benchmarks and NGN: USD exchange rates are based</w:t>
      </w:r>
      <w:r w:rsidR="00471E5A">
        <w:t xml:space="preserve"> on the figures in the 2021-2024</w:t>
      </w:r>
      <w:r w:rsidR="00B2100C" w:rsidRPr="00B2100C">
        <w:t xml:space="preserve"> Federal Fiscal</w:t>
      </w:r>
      <w:r w:rsidR="00250873">
        <w:t xml:space="preserve"> Strategy Paper</w:t>
      </w:r>
      <w:r w:rsidR="00B2100C" w:rsidRPr="00B2100C">
        <w:t xml:space="preserve"> document.</w:t>
      </w:r>
    </w:p>
    <w:p w:rsidR="00A76322" w:rsidRPr="00693321" w:rsidRDefault="00E22C43" w:rsidP="00A76322">
      <w:pPr>
        <w:pStyle w:val="StyleCaptionCentered"/>
        <w:rPr>
          <w:rFonts w:ascii="Arial Black" w:hAnsi="Arial Black"/>
        </w:rPr>
      </w:pPr>
      <w:bookmarkStart w:id="73" w:name="_Toc79828564"/>
      <w:r w:rsidRPr="00E22C43">
        <w:rPr>
          <w:noProof/>
          <w:lang w:val="en-US" w:eastAsia="en-US"/>
        </w:rPr>
        <w:lastRenderedPageBreak/>
        <w:drawing>
          <wp:anchor distT="0" distB="0" distL="114300" distR="114300" simplePos="0" relativeHeight="251673600" behindDoc="0" locked="0" layoutInCell="1" allowOverlap="1">
            <wp:simplePos x="0" y="0"/>
            <wp:positionH relativeFrom="margin">
              <wp:align>left</wp:align>
            </wp:positionH>
            <wp:positionV relativeFrom="paragraph">
              <wp:posOffset>273050</wp:posOffset>
            </wp:positionV>
            <wp:extent cx="6337300" cy="2196465"/>
            <wp:effectExtent l="0" t="0" r="6350" b="0"/>
            <wp:wrapThrough wrapText="bothSides">
              <wp:wrapPolygon edited="0">
                <wp:start x="5584" y="0"/>
                <wp:lineTo x="0" y="375"/>
                <wp:lineTo x="0" y="21356"/>
                <wp:lineTo x="21557" y="21356"/>
                <wp:lineTo x="21557" y="1873"/>
                <wp:lineTo x="20583" y="1873"/>
                <wp:lineTo x="5909" y="0"/>
                <wp:lineTo x="5584" y="0"/>
              </wp:wrapPolygon>
            </wp:wrapThrough>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37300" cy="219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7C85" w:rsidRPr="00693321">
        <w:rPr>
          <w:rFonts w:ascii="Arial Black" w:hAnsi="Arial Black"/>
        </w:rPr>
        <w:t>Figure</w:t>
      </w:r>
      <w:r w:rsidR="00DF033A" w:rsidRPr="00693321">
        <w:rPr>
          <w:rFonts w:ascii="Arial Black" w:hAnsi="Arial Black"/>
        </w:rPr>
        <w:fldChar w:fldCharType="begin"/>
      </w:r>
      <w:r w:rsidR="00D17C85" w:rsidRPr="00693321">
        <w:rPr>
          <w:rFonts w:ascii="Arial Black" w:hAnsi="Arial Black"/>
        </w:rPr>
        <w:instrText xml:space="preserve"> SEQ Figure \* ARABIC </w:instrText>
      </w:r>
      <w:r w:rsidR="00DF033A" w:rsidRPr="00693321">
        <w:rPr>
          <w:rFonts w:ascii="Arial Black" w:hAnsi="Arial Black"/>
        </w:rPr>
        <w:fldChar w:fldCharType="separate"/>
      </w:r>
      <w:r w:rsidR="00793B52" w:rsidRPr="00693321">
        <w:rPr>
          <w:rFonts w:ascii="Arial Black" w:hAnsi="Arial Black"/>
          <w:noProof/>
        </w:rPr>
        <w:t>14</w:t>
      </w:r>
      <w:r w:rsidR="00DF033A" w:rsidRPr="00693321">
        <w:rPr>
          <w:rFonts w:ascii="Arial Black" w:hAnsi="Arial Black"/>
        </w:rPr>
        <w:fldChar w:fldCharType="end"/>
      </w:r>
      <w:r w:rsidR="00D17C85" w:rsidRPr="00693321">
        <w:rPr>
          <w:rFonts w:ascii="Arial Black" w:hAnsi="Arial Black"/>
        </w:rPr>
        <w:t>:</w:t>
      </w:r>
      <w:r w:rsidR="00C2316F">
        <w:rPr>
          <w:rFonts w:ascii="Arial Black" w:hAnsi="Arial Black"/>
        </w:rPr>
        <w:t xml:space="preserve"> </w:t>
      </w:r>
      <w:r w:rsidR="00A76322" w:rsidRPr="00693321">
        <w:rPr>
          <w:rFonts w:ascii="Arial Black" w:hAnsi="Arial Black"/>
        </w:rPr>
        <w:t>Kogi State Macroeconomic Framework</w:t>
      </w:r>
      <w:bookmarkEnd w:id="73"/>
    </w:p>
    <w:p w:rsidR="00B5741E" w:rsidRDefault="00B5741E" w:rsidP="000B0C62">
      <w:pPr>
        <w:pStyle w:val="StyleCaptionCentered"/>
      </w:pPr>
    </w:p>
    <w:p w:rsidR="00A76322" w:rsidRDefault="00A76322" w:rsidP="00A76322">
      <w:pPr>
        <w:pStyle w:val="Heading2"/>
      </w:pPr>
      <w:bookmarkStart w:id="74" w:name="_Toc454798310"/>
      <w:bookmarkStart w:id="75" w:name="_Toc79827017"/>
      <w:r>
        <w:t>Fiscal Strategy and Assumptions</w:t>
      </w:r>
      <w:bookmarkEnd w:id="74"/>
      <w:bookmarkEnd w:id="75"/>
    </w:p>
    <w:p w:rsidR="00A76322" w:rsidRDefault="00A76322" w:rsidP="00A76322">
      <w:pPr>
        <w:pStyle w:val="Heading4"/>
      </w:pPr>
      <w:r>
        <w:t>Policy Statement</w:t>
      </w:r>
    </w:p>
    <w:p w:rsidR="00250873" w:rsidRDefault="005C07DB" w:rsidP="0088605A">
      <w:pPr>
        <w:pStyle w:val="NumberedPara"/>
        <w:tabs>
          <w:tab w:val="clear" w:pos="1287"/>
          <w:tab w:val="num" w:pos="540"/>
        </w:tabs>
        <w:ind w:left="540" w:hanging="540"/>
      </w:pPr>
      <w:r w:rsidRPr="005C07DB">
        <w:t>The fiscal strategy of Government is anchored on the on-going Public Financial Management Reform (PFM).</w:t>
      </w:r>
      <w:r w:rsidR="008A5FA7">
        <w:t xml:space="preserve"> Over the period</w:t>
      </w:r>
      <w:r w:rsidR="00352FB3">
        <w:t xml:space="preserve"> 2022 -2024</w:t>
      </w:r>
      <w:r w:rsidR="000B0C62">
        <w:t xml:space="preserve"> </w:t>
      </w:r>
      <w:r w:rsidRPr="005C07DB">
        <w:t>the</w:t>
      </w:r>
      <w:r w:rsidR="000B0C62">
        <w:t xml:space="preserve"> </w:t>
      </w:r>
      <w:r w:rsidRPr="005C07DB">
        <w:t>State Government fiscal policy is directed at</w:t>
      </w:r>
      <w:r w:rsidR="00250873">
        <w:t>:</w:t>
      </w:r>
    </w:p>
    <w:p w:rsidR="00250873" w:rsidRDefault="00C2316F" w:rsidP="0088605A">
      <w:pPr>
        <w:pStyle w:val="NumberedPara"/>
        <w:numPr>
          <w:ilvl w:val="1"/>
          <w:numId w:val="3"/>
        </w:numPr>
        <w:tabs>
          <w:tab w:val="clear" w:pos="2160"/>
          <w:tab w:val="num" w:pos="1080"/>
        </w:tabs>
        <w:ind w:left="1080" w:hanging="540"/>
      </w:pPr>
      <w:r>
        <w:t>I</w:t>
      </w:r>
      <w:r w:rsidR="005C07DB" w:rsidRPr="005C07DB">
        <w:t>mproving the efficiency and effectiveness of spending;</w:t>
      </w:r>
    </w:p>
    <w:p w:rsidR="00B339E1" w:rsidRDefault="00C2316F" w:rsidP="0088605A">
      <w:pPr>
        <w:pStyle w:val="NumberedPara"/>
        <w:numPr>
          <w:ilvl w:val="1"/>
          <w:numId w:val="3"/>
        </w:numPr>
        <w:tabs>
          <w:tab w:val="clear" w:pos="2160"/>
          <w:tab w:val="num" w:pos="1080"/>
        </w:tabs>
        <w:ind w:left="1080" w:hanging="540"/>
      </w:pPr>
      <w:r>
        <w:t>A</w:t>
      </w:r>
      <w:r w:rsidR="005C07DB" w:rsidRPr="005C07DB">
        <w:t>chieving a better balance between capital and recurrent expenditure</w:t>
      </w:r>
      <w:r w:rsidR="00B339E1">
        <w:t>;</w:t>
      </w:r>
    </w:p>
    <w:p w:rsidR="00B339E1" w:rsidRDefault="00C2316F" w:rsidP="0088605A">
      <w:pPr>
        <w:pStyle w:val="NumberedPara"/>
        <w:numPr>
          <w:ilvl w:val="1"/>
          <w:numId w:val="3"/>
        </w:numPr>
        <w:tabs>
          <w:tab w:val="clear" w:pos="2160"/>
          <w:tab w:val="num" w:pos="1080"/>
        </w:tabs>
        <w:ind w:left="1080" w:hanging="540"/>
      </w:pPr>
      <w:r>
        <w:t>I</w:t>
      </w:r>
      <w:r w:rsidR="005C07DB" w:rsidRPr="005C07DB">
        <w:t>ncluding greater control of the wage bill;</w:t>
      </w:r>
    </w:p>
    <w:p w:rsidR="00B339E1" w:rsidRDefault="00C2316F" w:rsidP="0088605A">
      <w:pPr>
        <w:pStyle w:val="NumberedPara"/>
        <w:numPr>
          <w:ilvl w:val="1"/>
          <w:numId w:val="3"/>
        </w:numPr>
        <w:tabs>
          <w:tab w:val="clear" w:pos="2160"/>
          <w:tab w:val="num" w:pos="1080"/>
        </w:tabs>
        <w:ind w:left="1080" w:hanging="540"/>
      </w:pPr>
      <w:r>
        <w:t>D</w:t>
      </w:r>
      <w:r w:rsidR="005C07DB" w:rsidRPr="005C07DB">
        <w:t>irecting capital expenditure on critical infrastructure</w:t>
      </w:r>
      <w:r w:rsidR="005C07DB">
        <w:t xml:space="preserve"> such</w:t>
      </w:r>
      <w:r w:rsidR="00281F6F">
        <w:t xml:space="preserve"> as</w:t>
      </w:r>
      <w:r w:rsidR="000B0C62">
        <w:t xml:space="preserve"> </w:t>
      </w:r>
      <w:r w:rsidR="00D50B8D">
        <w:t xml:space="preserve">Agriculture, Health </w:t>
      </w:r>
      <w:r w:rsidR="00281F6F">
        <w:t>Road</w:t>
      </w:r>
      <w:r w:rsidR="00F35904">
        <w:t>,</w:t>
      </w:r>
      <w:r w:rsidR="008A5FA7">
        <w:t xml:space="preserve"> Education,</w:t>
      </w:r>
      <w:r w:rsidR="00F35904">
        <w:t xml:space="preserve"> Security, Water</w:t>
      </w:r>
      <w:r w:rsidR="00064E74">
        <w:t>, Youth engagement</w:t>
      </w:r>
      <w:r w:rsidR="008A5FA7">
        <w:t xml:space="preserve"> etc</w:t>
      </w:r>
    </w:p>
    <w:p w:rsidR="00A76322" w:rsidRDefault="00C2316F" w:rsidP="00B86721">
      <w:pPr>
        <w:pStyle w:val="NumberedPara"/>
        <w:numPr>
          <w:ilvl w:val="0"/>
          <w:numId w:val="13"/>
        </w:numPr>
        <w:tabs>
          <w:tab w:val="num" w:pos="1080"/>
        </w:tabs>
        <w:ind w:left="1080" w:hanging="540"/>
      </w:pPr>
      <w:r w:rsidRPr="005C07DB">
        <w:t>Boosting</w:t>
      </w:r>
      <w:r w:rsidR="005C07DB" w:rsidRPr="005C07DB">
        <w:t xml:space="preserve"> revenue rece</w:t>
      </w:r>
      <w:r w:rsidR="005C07DB">
        <w:t>ipts by identifying and blocking</w:t>
      </w:r>
      <w:r w:rsidR="005C07DB" w:rsidRPr="005C07DB">
        <w:t xml:space="preserve"> revenue leakages; and</w:t>
      </w:r>
      <w:r w:rsidR="000B0C62">
        <w:t xml:space="preserve"> </w:t>
      </w:r>
      <w:r w:rsidR="005C07DB" w:rsidRPr="005C07DB">
        <w:t>gradual fiscal consolidation in order to achieve a level of public spending consistent with macroeconomic stability and sustainable debt.</w:t>
      </w:r>
    </w:p>
    <w:p w:rsidR="00B339E1" w:rsidRDefault="00B339E1" w:rsidP="00A76322">
      <w:pPr>
        <w:pStyle w:val="Heading4"/>
      </w:pPr>
    </w:p>
    <w:p w:rsidR="00A76322" w:rsidRDefault="00A76322" w:rsidP="00A76322">
      <w:pPr>
        <w:pStyle w:val="Heading4"/>
      </w:pPr>
      <w:r>
        <w:t xml:space="preserve">Objectives </w:t>
      </w:r>
      <w:r w:rsidRPr="00FB7EBA">
        <w:t>and Targets</w:t>
      </w:r>
    </w:p>
    <w:p w:rsidR="00A76322" w:rsidRDefault="001F7F84" w:rsidP="001D6B67">
      <w:pPr>
        <w:pStyle w:val="NumberedPara"/>
        <w:tabs>
          <w:tab w:val="clear" w:pos="1287"/>
          <w:tab w:val="num" w:pos="540"/>
        </w:tabs>
        <w:ind w:left="540" w:hanging="540"/>
      </w:pPr>
      <w:r>
        <w:t xml:space="preserve">The specific </w:t>
      </w:r>
      <w:r w:rsidR="00313384">
        <w:t xml:space="preserve">fiscal </w:t>
      </w:r>
      <w:r>
        <w:t xml:space="preserve">objective </w:t>
      </w:r>
      <w:r w:rsidR="00702DAD">
        <w:t xml:space="preserve">of </w:t>
      </w:r>
      <w:r w:rsidR="00313384">
        <w:t>Kogi State</w:t>
      </w:r>
      <w:r>
        <w:t xml:space="preserve"> is effective allocation of scarce resources to identified critical programmes and projects, </w:t>
      </w:r>
      <w:r w:rsidR="00313384">
        <w:t>with</w:t>
      </w:r>
      <w:r>
        <w:t xml:space="preserve"> the following</w:t>
      </w:r>
      <w:r w:rsidR="00313384">
        <w:t xml:space="preserve"> major targets</w:t>
      </w:r>
      <w:r w:rsidR="00FB7EBA">
        <w:t xml:space="preserve"> (non-quantifiable and time bound targets)</w:t>
      </w:r>
      <w:r>
        <w:t>:</w:t>
      </w:r>
    </w:p>
    <w:p w:rsidR="00E530CB" w:rsidRPr="00C56583" w:rsidRDefault="00E530CB" w:rsidP="00B86721">
      <w:pPr>
        <w:pStyle w:val="NumberedPara"/>
        <w:numPr>
          <w:ilvl w:val="0"/>
          <w:numId w:val="12"/>
        </w:numPr>
        <w:ind w:left="720"/>
        <w:rPr>
          <w:bCs/>
        </w:rPr>
      </w:pPr>
      <w:r w:rsidRPr="00C56583">
        <w:t xml:space="preserve">To improve the quality of education </w:t>
      </w:r>
      <w:r w:rsidR="00AA54A3" w:rsidRPr="00B806CF">
        <w:t>to</w:t>
      </w:r>
      <w:r w:rsidR="00AA54A3" w:rsidRPr="00AA54A3">
        <w:rPr>
          <w:color w:val="FF0000"/>
        </w:rPr>
        <w:t xml:space="preserve"> </w:t>
      </w:r>
      <w:r w:rsidR="00AA54A3" w:rsidRPr="00B806CF">
        <w:t>citizens</w:t>
      </w:r>
      <w:r w:rsidR="00B806CF">
        <w:rPr>
          <w:color w:val="FF0000"/>
        </w:rPr>
        <w:t xml:space="preserve"> </w:t>
      </w:r>
      <w:r w:rsidRPr="00C56583">
        <w:t xml:space="preserve">at all levels </w:t>
      </w:r>
      <w:r w:rsidR="00AA54A3" w:rsidRPr="00B806CF">
        <w:t>in</w:t>
      </w:r>
      <w:r w:rsidR="00AA54A3" w:rsidRPr="00AA54A3">
        <w:rPr>
          <w:color w:val="FF0000"/>
        </w:rPr>
        <w:t xml:space="preserve"> </w:t>
      </w:r>
      <w:r w:rsidR="00AA54A3" w:rsidRPr="00B806CF">
        <w:t>order</w:t>
      </w:r>
      <w:r w:rsidR="00B806CF">
        <w:rPr>
          <w:color w:val="FF0000"/>
        </w:rPr>
        <w:t xml:space="preserve"> </w:t>
      </w:r>
      <w:r w:rsidRPr="00C56583">
        <w:t>to produce articulate and skilled manpower necessary for economic transformation of the State;</w:t>
      </w:r>
    </w:p>
    <w:p w:rsidR="00E530CB" w:rsidRPr="00C56583" w:rsidRDefault="00E530CB" w:rsidP="00B86721">
      <w:pPr>
        <w:pStyle w:val="NumberedPara"/>
        <w:numPr>
          <w:ilvl w:val="0"/>
          <w:numId w:val="12"/>
        </w:numPr>
        <w:ind w:left="720"/>
        <w:rPr>
          <w:bCs/>
        </w:rPr>
      </w:pPr>
      <w:r w:rsidRPr="00C56583">
        <w:rPr>
          <w:bCs/>
        </w:rPr>
        <w:t>T</w:t>
      </w:r>
      <w:r w:rsidRPr="00C56583">
        <w:t>o improve access to healthcare leading to improvement in efficiency of the healthcare delivery system;</w:t>
      </w:r>
    </w:p>
    <w:p w:rsidR="00E530CB" w:rsidRPr="00C56583" w:rsidRDefault="00E530CB" w:rsidP="00B86721">
      <w:pPr>
        <w:pStyle w:val="NumberedPara"/>
        <w:numPr>
          <w:ilvl w:val="0"/>
          <w:numId w:val="11"/>
        </w:numPr>
        <w:rPr>
          <w:bCs/>
        </w:rPr>
      </w:pPr>
      <w:r w:rsidRPr="00C56583">
        <w:rPr>
          <w:bCs/>
        </w:rPr>
        <w:t>T</w:t>
      </w:r>
      <w:r w:rsidRPr="00C56583">
        <w:t>o ensure food security and generate a high proportion of the GDP from agriculture;</w:t>
      </w:r>
    </w:p>
    <w:p w:rsidR="00E530CB" w:rsidRPr="00C56583" w:rsidRDefault="00E530CB" w:rsidP="00B86721">
      <w:pPr>
        <w:pStyle w:val="NumberedPara"/>
        <w:numPr>
          <w:ilvl w:val="0"/>
          <w:numId w:val="11"/>
        </w:numPr>
        <w:rPr>
          <w:bCs/>
        </w:rPr>
      </w:pPr>
      <w:r w:rsidRPr="00C56583">
        <w:rPr>
          <w:bCs/>
        </w:rPr>
        <w:t>T</w:t>
      </w:r>
      <w:r w:rsidRPr="00C56583">
        <w:t>o exploit the full potentials and expand trade and commerce in the State to ensure that products from agricultural and industrial activities have access to markets locally and internationally;</w:t>
      </w:r>
    </w:p>
    <w:p w:rsidR="00E530CB" w:rsidRPr="00C56583" w:rsidRDefault="00E530CB" w:rsidP="00B86721">
      <w:pPr>
        <w:pStyle w:val="NumberedPara"/>
        <w:numPr>
          <w:ilvl w:val="0"/>
          <w:numId w:val="11"/>
        </w:numPr>
        <w:rPr>
          <w:bCs/>
        </w:rPr>
      </w:pPr>
      <w:r w:rsidRPr="00C56583">
        <w:rPr>
          <w:bCs/>
        </w:rPr>
        <w:t>T</w:t>
      </w:r>
      <w:r w:rsidRPr="00C56583">
        <w:t>o ensure gainful employment of youths and create opportunities for the development of their talents;</w:t>
      </w:r>
    </w:p>
    <w:p w:rsidR="00E530CB" w:rsidRPr="00C56583" w:rsidRDefault="00E530CB" w:rsidP="00B86721">
      <w:pPr>
        <w:pStyle w:val="NumberedPara"/>
        <w:numPr>
          <w:ilvl w:val="0"/>
          <w:numId w:val="11"/>
        </w:numPr>
        <w:rPr>
          <w:bCs/>
        </w:rPr>
      </w:pPr>
      <w:r w:rsidRPr="00C56583">
        <w:rPr>
          <w:bCs/>
        </w:rPr>
        <w:lastRenderedPageBreak/>
        <w:t xml:space="preserve">To </w:t>
      </w:r>
      <w:r w:rsidRPr="00C56583">
        <w:t>achieve sustainable development and promoting social and economic development through culture and tourism;</w:t>
      </w:r>
    </w:p>
    <w:p w:rsidR="00E530CB" w:rsidRPr="00C56583" w:rsidRDefault="00E530CB" w:rsidP="00B86721">
      <w:pPr>
        <w:pStyle w:val="NumberedPara"/>
        <w:numPr>
          <w:ilvl w:val="0"/>
          <w:numId w:val="11"/>
        </w:numPr>
      </w:pPr>
      <w:r w:rsidRPr="00C56583">
        <w:rPr>
          <w:bCs/>
        </w:rPr>
        <w:t>T</w:t>
      </w:r>
      <w:r w:rsidRPr="00C56583">
        <w:t>o establish the necessary framework for a robust mining and Solid minerals sector, branding Kogi State as the foremost mining and minerals exploitation destination;</w:t>
      </w:r>
    </w:p>
    <w:p w:rsidR="00E530CB" w:rsidRPr="00C56583" w:rsidRDefault="00E530CB" w:rsidP="00B86721">
      <w:pPr>
        <w:pStyle w:val="NumberedPara"/>
        <w:numPr>
          <w:ilvl w:val="0"/>
          <w:numId w:val="11"/>
        </w:numPr>
      </w:pPr>
      <w:r w:rsidRPr="00C56583">
        <w:t>To improve the road network in the State through continued construction of new roads and bridges and rehabilitation of existing ones in urban and rural areas;</w:t>
      </w:r>
    </w:p>
    <w:p w:rsidR="00E530CB" w:rsidRPr="00C56583" w:rsidRDefault="00E530CB" w:rsidP="00B86721">
      <w:pPr>
        <w:pStyle w:val="NumberedPara"/>
        <w:numPr>
          <w:ilvl w:val="0"/>
          <w:numId w:val="11"/>
        </w:numPr>
      </w:pPr>
      <w:r w:rsidRPr="00C56583">
        <w:t>To improve the quantity, quality and access to safe water for domestic, commercial and industrial uses as well as improve sanitation and hygiene practices among the citizens;</w:t>
      </w:r>
    </w:p>
    <w:p w:rsidR="00E530CB" w:rsidRPr="00C56583" w:rsidRDefault="00E530CB" w:rsidP="00B86721">
      <w:pPr>
        <w:pStyle w:val="NumberedPara"/>
        <w:numPr>
          <w:ilvl w:val="0"/>
          <w:numId w:val="11"/>
        </w:numPr>
      </w:pPr>
      <w:r w:rsidRPr="00C56583">
        <w:t>To ensure sustainable use of the environment and continuous management of environmental challenges such as pollution, degradation and gully erosion;</w:t>
      </w:r>
    </w:p>
    <w:p w:rsidR="00E530CB" w:rsidRPr="00C56583" w:rsidRDefault="00E530CB" w:rsidP="00B86721">
      <w:pPr>
        <w:pStyle w:val="NumberedPara"/>
        <w:numPr>
          <w:ilvl w:val="0"/>
          <w:numId w:val="11"/>
        </w:numPr>
      </w:pPr>
      <w:r w:rsidRPr="00C56583">
        <w:t>To ensure easy access to lands for agricultural, residential, commercial and industrial uses to all citizens and investors to facilitate the social and economic development of the State;</w:t>
      </w:r>
    </w:p>
    <w:p w:rsidR="00E530CB" w:rsidRPr="00C56583" w:rsidRDefault="00E530CB" w:rsidP="00B86721">
      <w:pPr>
        <w:pStyle w:val="NumberedPara"/>
        <w:numPr>
          <w:ilvl w:val="0"/>
          <w:numId w:val="11"/>
        </w:numPr>
      </w:pPr>
      <w:r w:rsidRPr="00C56583">
        <w:t>To improve the quantity of decent housing and facilitate the creation of viable urban communities in the state;</w:t>
      </w:r>
    </w:p>
    <w:p w:rsidR="00E530CB" w:rsidRPr="00C56583" w:rsidRDefault="00E530CB" w:rsidP="00B86721">
      <w:pPr>
        <w:pStyle w:val="NumberedPara"/>
        <w:numPr>
          <w:ilvl w:val="0"/>
          <w:numId w:val="11"/>
        </w:numPr>
        <w:rPr>
          <w:bCs/>
        </w:rPr>
      </w:pPr>
      <w:r w:rsidRPr="00C56583">
        <w:t>To improve and expand affordable housing options through the use of public private partnership arrangements;</w:t>
      </w:r>
    </w:p>
    <w:p w:rsidR="00E530CB" w:rsidRPr="00C56583" w:rsidRDefault="00E530CB" w:rsidP="00B86721">
      <w:pPr>
        <w:pStyle w:val="NumberedPara"/>
        <w:numPr>
          <w:ilvl w:val="0"/>
          <w:numId w:val="11"/>
        </w:numPr>
      </w:pPr>
      <w:r w:rsidRPr="00C56583">
        <w:t>To reduce average power outage through the generation and distribution of adequate electricity in the urban and rural areas in Kogi State;</w:t>
      </w:r>
    </w:p>
    <w:p w:rsidR="00E530CB" w:rsidRPr="00C56583" w:rsidRDefault="00E530CB" w:rsidP="00B86721">
      <w:pPr>
        <w:pStyle w:val="NumberedPara"/>
        <w:numPr>
          <w:ilvl w:val="0"/>
          <w:numId w:val="11"/>
        </w:numPr>
      </w:pPr>
      <w:r w:rsidRPr="00C56583">
        <w:t>To rejuvenating the transportation sector and all its players to facilitates Internally Generated Revenue;</w:t>
      </w:r>
    </w:p>
    <w:p w:rsidR="00E530CB" w:rsidRPr="00C56583" w:rsidRDefault="00E530CB" w:rsidP="00B86721">
      <w:pPr>
        <w:pStyle w:val="NumberedPara"/>
        <w:numPr>
          <w:ilvl w:val="0"/>
          <w:numId w:val="11"/>
        </w:numPr>
      </w:pPr>
      <w:r w:rsidRPr="00C56583">
        <w:t>To provide an enabling environment to facilitate economic and social development in the State as well as introduce and implement reform measures to strengthen governance institutions, i.e. the Civil Service, the pension etc.;</w:t>
      </w:r>
    </w:p>
    <w:p w:rsidR="00E530CB" w:rsidRPr="00C56583" w:rsidRDefault="00E530CB" w:rsidP="00B86721">
      <w:pPr>
        <w:pStyle w:val="NumberedPara"/>
        <w:numPr>
          <w:ilvl w:val="0"/>
          <w:numId w:val="11"/>
        </w:numPr>
      </w:pPr>
      <w:r w:rsidRPr="00C56583">
        <w:t>To increased security of lives and property in the state;</w:t>
      </w:r>
    </w:p>
    <w:p w:rsidR="008A785A" w:rsidRDefault="00E530CB" w:rsidP="00B86721">
      <w:pPr>
        <w:pStyle w:val="NumberedPara"/>
        <w:numPr>
          <w:ilvl w:val="0"/>
          <w:numId w:val="11"/>
        </w:numPr>
      </w:pPr>
      <w:r w:rsidRPr="00C56583">
        <w:t>To continue to expand the State’s revenue base in the area of Internally Generated Revenue (IGR).</w:t>
      </w:r>
      <w:r w:rsidR="008A785A">
        <w:t xml:space="preserve">and </w:t>
      </w:r>
    </w:p>
    <w:p w:rsidR="008A785A" w:rsidRDefault="008A785A" w:rsidP="00B86721">
      <w:pPr>
        <w:pStyle w:val="Bullet"/>
        <w:numPr>
          <w:ilvl w:val="0"/>
          <w:numId w:val="11"/>
        </w:numPr>
      </w:pPr>
      <w:r>
        <w:t xml:space="preserve">To reduce the level of Domestic Debt Profile of </w:t>
      </w:r>
      <w:r w:rsidR="00313384">
        <w:t>Kogi State</w:t>
      </w:r>
      <w:r>
        <w:t>.</w:t>
      </w:r>
    </w:p>
    <w:p w:rsidR="00A76322" w:rsidRDefault="00A76322" w:rsidP="00A76322">
      <w:pPr>
        <w:pStyle w:val="Heading2"/>
      </w:pPr>
      <w:bookmarkStart w:id="76" w:name="_Toc454798311"/>
      <w:bookmarkStart w:id="77" w:name="_Toc79827018"/>
      <w:r>
        <w:t>Indicative Three Year Fiscal Framework</w:t>
      </w:r>
      <w:bookmarkEnd w:id="76"/>
      <w:bookmarkEnd w:id="77"/>
    </w:p>
    <w:p w:rsidR="00A76322" w:rsidRDefault="00A76322" w:rsidP="001D6B67">
      <w:pPr>
        <w:pStyle w:val="NumberedPara"/>
        <w:tabs>
          <w:tab w:val="clear" w:pos="1287"/>
          <w:tab w:val="num" w:pos="540"/>
        </w:tabs>
        <w:ind w:left="540" w:hanging="540"/>
      </w:pPr>
      <w:r>
        <w:t>The indicative three</w:t>
      </w:r>
      <w:r w:rsidR="00313384">
        <w:t>-</w:t>
      </w:r>
      <w:r>
        <w:t>year fisc</w:t>
      </w:r>
      <w:r w:rsidR="00D03E9F">
        <w:t>al f</w:t>
      </w:r>
      <w:r w:rsidR="00352FB3">
        <w:t>ramework for the period 2022</w:t>
      </w:r>
      <w:r w:rsidR="008F2884">
        <w:t>-202</w:t>
      </w:r>
      <w:r w:rsidR="00352FB3">
        <w:t>4</w:t>
      </w:r>
      <w:r>
        <w:t xml:space="preserve"> is presented in the table below. </w:t>
      </w:r>
    </w:p>
    <w:p w:rsidR="00EC7C87" w:rsidRDefault="00A76322" w:rsidP="00D67B47">
      <w:pPr>
        <w:pStyle w:val="StyleCaptionCentered"/>
      </w:pPr>
      <w:bookmarkStart w:id="78" w:name="_Toc79827151"/>
      <w:r>
        <w:lastRenderedPageBreak/>
        <w:t xml:space="preserve">Table </w:t>
      </w:r>
      <w:r w:rsidR="00DF033A">
        <w:fldChar w:fldCharType="begin"/>
      </w:r>
      <w:r>
        <w:instrText xml:space="preserve"> SEQ Table \* ARABIC </w:instrText>
      </w:r>
      <w:r w:rsidR="00DF033A">
        <w:fldChar w:fldCharType="separate"/>
      </w:r>
      <w:r w:rsidR="007A24D6">
        <w:rPr>
          <w:noProof/>
        </w:rPr>
        <w:t>8</w:t>
      </w:r>
      <w:r w:rsidR="00DF033A">
        <w:fldChar w:fldCharType="end"/>
      </w:r>
      <w:r>
        <w:t>: Kogi State Medium Term Fiscal Framework</w:t>
      </w:r>
      <w:bookmarkEnd w:id="78"/>
    </w:p>
    <w:p w:rsidR="00D67B47" w:rsidRDefault="00A34A5D" w:rsidP="000B0C62">
      <w:pPr>
        <w:pStyle w:val="StyleCaptionCentered"/>
      </w:pPr>
      <w:r w:rsidRPr="00A34A5D">
        <w:rPr>
          <w:noProof/>
          <w:lang w:val="en-US" w:eastAsia="en-US"/>
        </w:rPr>
        <w:drawing>
          <wp:inline distT="0" distB="0" distL="0" distR="0">
            <wp:extent cx="5790565" cy="4889978"/>
            <wp:effectExtent l="0" t="0" r="635"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90565" cy="4889978"/>
                    </a:xfrm>
                    <a:prstGeom prst="rect">
                      <a:avLst/>
                    </a:prstGeom>
                    <a:noFill/>
                    <a:ln>
                      <a:noFill/>
                    </a:ln>
                  </pic:spPr>
                </pic:pic>
              </a:graphicData>
            </a:graphic>
          </wp:inline>
        </w:drawing>
      </w:r>
    </w:p>
    <w:p w:rsidR="00A76322" w:rsidRPr="00A3596C" w:rsidRDefault="00A76322" w:rsidP="00A76322">
      <w:pPr>
        <w:pStyle w:val="Heading3"/>
      </w:pPr>
      <w:bookmarkStart w:id="79" w:name="_Toc79827019"/>
      <w:r>
        <w:t>Assumptions</w:t>
      </w:r>
      <w:bookmarkEnd w:id="79"/>
    </w:p>
    <w:p w:rsidR="00A76322" w:rsidRDefault="00A76322" w:rsidP="001D6B67">
      <w:pPr>
        <w:pStyle w:val="NumberedPara"/>
        <w:tabs>
          <w:tab w:val="clear" w:pos="1287"/>
          <w:tab w:val="num" w:pos="540"/>
        </w:tabs>
        <w:ind w:left="540" w:hanging="540"/>
      </w:pPr>
      <w:r w:rsidRPr="00AD2EAD">
        <w:rPr>
          <w:b/>
        </w:rPr>
        <w:t>Statutory Allocation</w:t>
      </w:r>
      <w:r>
        <w:t xml:space="preserve"> - </w:t>
      </w:r>
      <w:r w:rsidR="009E50CC">
        <w:t>is premised</w:t>
      </w:r>
      <w:r w:rsidR="00452369">
        <w:t xml:space="preserve"> on elasticity</w:t>
      </w:r>
      <w:r w:rsidR="007B49E8" w:rsidRPr="007B49E8">
        <w:t xml:space="preserve"> based forecast consistent with the macroeconomic framework</w:t>
      </w:r>
      <w:r w:rsidR="000B0C62">
        <w:t xml:space="preserve"> </w:t>
      </w:r>
      <w:r w:rsidR="00176C10">
        <w:t>and the numerous</w:t>
      </w:r>
      <w:r w:rsidR="007B49E8" w:rsidRPr="007D44BC">
        <w:t xml:space="preserve"> assum</w:t>
      </w:r>
      <w:r w:rsidR="00352FB3">
        <w:t>ptions in the 2022</w:t>
      </w:r>
      <w:r w:rsidR="00B62CEB">
        <w:t>-202</w:t>
      </w:r>
      <w:r w:rsidR="00352FB3">
        <w:t>4</w:t>
      </w:r>
      <w:r w:rsidR="008F2884">
        <w:t xml:space="preserve"> </w:t>
      </w:r>
      <w:r w:rsidR="007B49E8" w:rsidRPr="007D44BC">
        <w:t>Fiscal Strategy Paper</w:t>
      </w:r>
      <w:r w:rsidR="007B49E8" w:rsidRPr="007B49E8">
        <w:t xml:space="preserve"> displayed above.</w:t>
      </w:r>
    </w:p>
    <w:p w:rsidR="00A76322" w:rsidRPr="008C1816" w:rsidRDefault="00A76322" w:rsidP="001D6B67">
      <w:pPr>
        <w:pStyle w:val="NumberedPara"/>
        <w:tabs>
          <w:tab w:val="clear" w:pos="1287"/>
          <w:tab w:val="num" w:pos="540"/>
        </w:tabs>
        <w:ind w:left="540" w:hanging="540"/>
      </w:pPr>
      <w:r w:rsidRPr="00AD2EAD">
        <w:rPr>
          <w:b/>
        </w:rPr>
        <w:t>VAT</w:t>
      </w:r>
      <w:r>
        <w:t xml:space="preserve"> - </w:t>
      </w:r>
      <w:r w:rsidR="00F242E1" w:rsidRPr="007D44BC">
        <w:t>is also base</w:t>
      </w:r>
      <w:r w:rsidR="00452369">
        <w:t>d on elasticity</w:t>
      </w:r>
      <w:r w:rsidR="00F242E1">
        <w:t xml:space="preserve"> forecasting using N</w:t>
      </w:r>
      <w:r w:rsidR="00F242E1" w:rsidRPr="007D44BC">
        <w:t xml:space="preserve">ational Real </w:t>
      </w:r>
      <w:r w:rsidR="00313384" w:rsidRPr="007D44BC">
        <w:t>G</w:t>
      </w:r>
      <w:r w:rsidR="00313384">
        <w:t>D</w:t>
      </w:r>
      <w:r w:rsidR="00313384" w:rsidRPr="007D44BC">
        <w:t xml:space="preserve">P </w:t>
      </w:r>
      <w:r w:rsidR="00313384">
        <w:t xml:space="preserve">Growth </w:t>
      </w:r>
      <w:r w:rsidR="00F242E1" w:rsidRPr="007D44BC">
        <w:t>and Inflation data as the explanatory variables for VAT growth.</w:t>
      </w:r>
    </w:p>
    <w:p w:rsidR="00A76322" w:rsidRPr="006B31E3" w:rsidRDefault="00A76322" w:rsidP="001D6B67">
      <w:pPr>
        <w:pStyle w:val="NumberedPara"/>
        <w:tabs>
          <w:tab w:val="clear" w:pos="1287"/>
          <w:tab w:val="num" w:pos="540"/>
        </w:tabs>
        <w:ind w:left="540" w:hanging="540"/>
      </w:pPr>
      <w:r w:rsidRPr="00AD2EAD">
        <w:rPr>
          <w:b/>
        </w:rPr>
        <w:t>Excess Crude</w:t>
      </w:r>
      <w:r w:rsidR="001B7509">
        <w:rPr>
          <w:b/>
        </w:rPr>
        <w:t>/Other Revenue</w:t>
      </w:r>
      <w:r>
        <w:t xml:space="preserve"> - </w:t>
      </w:r>
      <w:r w:rsidR="004A2845" w:rsidRPr="004A2845">
        <w:t xml:space="preserve">the </w:t>
      </w:r>
      <w:r w:rsidR="004A2845">
        <w:t>previous year excess crude</w:t>
      </w:r>
      <w:r w:rsidR="001B7509">
        <w:t>/other revenue</w:t>
      </w:r>
      <w:r w:rsidR="00352FB3">
        <w:t xml:space="preserve"> (2022</w:t>
      </w:r>
      <w:r w:rsidR="00F03AE3">
        <w:t>), which includes</w:t>
      </w:r>
      <w:r w:rsidR="004A2845" w:rsidRPr="004A2845">
        <w:t xml:space="preserve"> Nigerian National Petroleum Corporation (NNPC) refun</w:t>
      </w:r>
      <w:r w:rsidR="00F03AE3">
        <w:t>ds, exchange gains, budget support facilities</w:t>
      </w:r>
      <w:r w:rsidR="004A2845" w:rsidRPr="004A2845">
        <w:t xml:space="preserve"> and all other excess distributions, </w:t>
      </w:r>
      <w:r w:rsidR="00313384">
        <w:t>were</w:t>
      </w:r>
      <w:r w:rsidR="004A2845" w:rsidRPr="004A2845">
        <w:t xml:space="preserve"> used </w:t>
      </w:r>
      <w:r w:rsidR="00313384">
        <w:t xml:space="preserve">in the forecast using </w:t>
      </w:r>
      <w:r w:rsidR="00B62CEB">
        <w:t>own percentage</w:t>
      </w:r>
      <w:r w:rsidR="001B2CC4">
        <w:t>.</w:t>
      </w:r>
    </w:p>
    <w:p w:rsidR="00A76322" w:rsidRPr="008C1816" w:rsidRDefault="00A76322" w:rsidP="001D6B67">
      <w:pPr>
        <w:pStyle w:val="NumberedPara"/>
        <w:tabs>
          <w:tab w:val="clear" w:pos="1287"/>
          <w:tab w:val="num" w:pos="540"/>
        </w:tabs>
        <w:ind w:left="540" w:hanging="540"/>
      </w:pPr>
      <w:r w:rsidRPr="00AD2EAD">
        <w:rPr>
          <w:b/>
        </w:rPr>
        <w:t>Internally Generated Revenue (IGR)</w:t>
      </w:r>
      <w:r w:rsidR="002F3BB6">
        <w:t>–</w:t>
      </w:r>
      <w:r w:rsidR="001B7509">
        <w:t>IGR forecast was based on own percentage</w:t>
      </w:r>
      <w:r w:rsidR="00B806CF">
        <w:t xml:space="preserve"> </w:t>
      </w:r>
      <w:r w:rsidR="001B7509">
        <w:t>of</w:t>
      </w:r>
      <w:r w:rsidR="00B806CF">
        <w:t xml:space="preserve"> </w:t>
      </w:r>
      <w:r w:rsidR="001B7509">
        <w:t xml:space="preserve">the </w:t>
      </w:r>
      <w:r w:rsidR="004A2845" w:rsidRPr="00F242E1">
        <w:t>actual collections</w:t>
      </w:r>
      <w:r w:rsidR="002F3BB6">
        <w:t>.</w:t>
      </w:r>
    </w:p>
    <w:p w:rsidR="00A76322" w:rsidRPr="008C1816" w:rsidRDefault="00A76322" w:rsidP="00F03AE3">
      <w:pPr>
        <w:pStyle w:val="NumberedPara"/>
        <w:tabs>
          <w:tab w:val="clear" w:pos="1287"/>
          <w:tab w:val="num" w:pos="540"/>
        </w:tabs>
        <w:ind w:left="540" w:hanging="540"/>
      </w:pPr>
      <w:r w:rsidRPr="00704A96">
        <w:rPr>
          <w:b/>
        </w:rPr>
        <w:t>Grants</w:t>
      </w:r>
      <w:r>
        <w:t xml:space="preserve"> - </w:t>
      </w:r>
      <w:r w:rsidR="00704A96">
        <w:t xml:space="preserve">grants are very hard to predict and the recording of actual grant receipts is not accurate as a lot of expenditure is off budget.  The forecasts are based on current commitments from </w:t>
      </w:r>
      <w:r w:rsidR="002F3BB6">
        <w:t>Federal Government</w:t>
      </w:r>
      <w:r w:rsidR="00704A96">
        <w:t xml:space="preserve">/and the development </w:t>
      </w:r>
      <w:r w:rsidR="00F03AE3">
        <w:t>partners (including UNICEF, NEPAD</w:t>
      </w:r>
      <w:r w:rsidR="00704A96">
        <w:t xml:space="preserve"> and the World Bank group). </w:t>
      </w:r>
      <w:r w:rsidR="002F3BB6">
        <w:t>T</w:t>
      </w:r>
      <w:r w:rsidR="00704A96">
        <w:t xml:space="preserve">hese funds </w:t>
      </w:r>
      <w:r w:rsidR="001B7509">
        <w:t>a</w:t>
      </w:r>
      <w:r w:rsidR="002F3BB6">
        <w:t xml:space="preserve">re non-discretionary and </w:t>
      </w:r>
      <w:r w:rsidR="00704A96">
        <w:t xml:space="preserve">are </w:t>
      </w:r>
      <w:r w:rsidR="002F3BB6">
        <w:t xml:space="preserve">therefore </w:t>
      </w:r>
      <w:r w:rsidR="00704A96">
        <w:t>tied to the implementation of specific programmes/projects. If the funds are not forthcoming, the programmes/projects will not be imp</w:t>
      </w:r>
      <w:r w:rsidR="00D51903">
        <w:t>lemented. The estimates for 2022-2024</w:t>
      </w:r>
      <w:r w:rsidR="00704A96">
        <w:t xml:space="preserve"> are </w:t>
      </w:r>
      <w:r w:rsidR="002F3BB6">
        <w:t xml:space="preserve">thus conservatively </w:t>
      </w:r>
      <w:r w:rsidR="00F03AE3">
        <w:t>based on</w:t>
      </w:r>
      <w:r w:rsidR="00D51903">
        <w:t xml:space="preserve"> the current 2021</w:t>
      </w:r>
      <w:r w:rsidR="00704A96">
        <w:t xml:space="preserve"> budget.</w:t>
      </w:r>
    </w:p>
    <w:p w:rsidR="00A76322" w:rsidRPr="008C1816" w:rsidRDefault="00A76322" w:rsidP="001D6B67">
      <w:pPr>
        <w:pStyle w:val="NumberedPara"/>
        <w:tabs>
          <w:tab w:val="clear" w:pos="1287"/>
          <w:tab w:val="num" w:pos="540"/>
        </w:tabs>
        <w:ind w:left="540" w:hanging="540"/>
      </w:pPr>
      <w:r w:rsidRPr="00AD2EAD">
        <w:rPr>
          <w:b/>
        </w:rPr>
        <w:lastRenderedPageBreak/>
        <w:t xml:space="preserve">Financing (Net Loans) </w:t>
      </w:r>
      <w:r w:rsidR="00337DE9">
        <w:t>–It is difficult to use forecasting method to predict net loans due to irregular loans expectation</w:t>
      </w:r>
      <w:r w:rsidR="000737A4" w:rsidRPr="000737A4">
        <w:t>.</w:t>
      </w:r>
    </w:p>
    <w:p w:rsidR="00A76322" w:rsidRPr="008C1816" w:rsidRDefault="00A76322" w:rsidP="001D6B67">
      <w:pPr>
        <w:pStyle w:val="NumberedPara"/>
        <w:tabs>
          <w:tab w:val="clear" w:pos="1287"/>
          <w:tab w:val="num" w:pos="540"/>
        </w:tabs>
        <w:ind w:left="540" w:hanging="540"/>
      </w:pPr>
      <w:r w:rsidRPr="00AD2EAD">
        <w:rPr>
          <w:b/>
        </w:rPr>
        <w:t xml:space="preserve">Personnel </w:t>
      </w:r>
      <w:r w:rsidR="00D7383B">
        <w:t>–</w:t>
      </w:r>
      <w:r w:rsidR="00DA349F">
        <w:t xml:space="preserve">forecast is </w:t>
      </w:r>
      <w:r w:rsidR="00D7383B">
        <w:t>base</w:t>
      </w:r>
      <w:r w:rsidR="00DA349F">
        <w:t>d</w:t>
      </w:r>
      <w:r w:rsidR="00D7383B">
        <w:t xml:space="preserve"> on </w:t>
      </w:r>
      <w:r w:rsidR="00337DE9">
        <w:t>own percentage</w:t>
      </w:r>
      <w:r w:rsidR="00DA349F">
        <w:t xml:space="preserve"> using actual historical personnel figures</w:t>
      </w:r>
      <w:r w:rsidR="00E03656">
        <w:t xml:space="preserve">. </w:t>
      </w:r>
      <w:r w:rsidR="00DA349F">
        <w:t xml:space="preserve">This </w:t>
      </w:r>
      <w:r w:rsidR="00E03656">
        <w:t>assume</w:t>
      </w:r>
      <w:r w:rsidR="00DA349F">
        <w:t>s</w:t>
      </w:r>
      <w:r w:rsidR="00E03656">
        <w:t xml:space="preserve"> gradual growth rate of employment.</w:t>
      </w:r>
    </w:p>
    <w:p w:rsidR="00A76322" w:rsidRPr="008C1816" w:rsidRDefault="00A76322" w:rsidP="001D6B67">
      <w:pPr>
        <w:pStyle w:val="NumberedPara"/>
        <w:tabs>
          <w:tab w:val="clear" w:pos="1287"/>
          <w:tab w:val="num" w:pos="540"/>
        </w:tabs>
        <w:ind w:left="540" w:hanging="540"/>
      </w:pPr>
      <w:r w:rsidRPr="00AD2EAD">
        <w:rPr>
          <w:b/>
        </w:rPr>
        <w:t>Overheads</w:t>
      </w:r>
      <w:r w:rsidR="00BC0C79">
        <w:t>–</w:t>
      </w:r>
      <w:r w:rsidR="00F87B9C">
        <w:t>the forecasting method used to estimate overhead f</w:t>
      </w:r>
      <w:r w:rsidR="00D51903">
        <w:t>igures for the period 2022</w:t>
      </w:r>
      <w:r w:rsidR="00337DE9">
        <w:t xml:space="preserve"> is own percentage</w:t>
      </w:r>
      <w:r w:rsidR="00F87B9C">
        <w:t xml:space="preserve"> with the hope that cost of running government will maintain the trend</w:t>
      </w:r>
      <w:r w:rsidR="00E03656">
        <w:t>.</w:t>
      </w:r>
    </w:p>
    <w:p w:rsidR="00A76322" w:rsidRPr="00BF3097" w:rsidRDefault="00A76322" w:rsidP="001D6B67">
      <w:pPr>
        <w:pStyle w:val="NumberedPara"/>
        <w:tabs>
          <w:tab w:val="clear" w:pos="1287"/>
          <w:tab w:val="num" w:pos="540"/>
        </w:tabs>
        <w:ind w:left="540" w:hanging="540"/>
      </w:pPr>
      <w:r w:rsidRPr="00BF3097">
        <w:rPr>
          <w:b/>
        </w:rPr>
        <w:t>Contingency and Planning Reserves</w:t>
      </w:r>
      <w:r>
        <w:t xml:space="preserve"> -</w:t>
      </w:r>
      <w:r w:rsidR="000636D5">
        <w:t>2% of total</w:t>
      </w:r>
      <w:r w:rsidR="000636D5" w:rsidRPr="007D44BC">
        <w:t xml:space="preserve"> revenue has </w:t>
      </w:r>
      <w:r w:rsidR="00F87B9C">
        <w:t xml:space="preserve">been </w:t>
      </w:r>
      <w:r w:rsidR="000636D5" w:rsidRPr="007D44BC">
        <w:t xml:space="preserve">allocated to the Contingency Reserve which will be used in accordance with Finance Act, during budget implementation. </w:t>
      </w:r>
      <w:r w:rsidR="00064E74">
        <w:t>Also 2</w:t>
      </w:r>
      <w:r w:rsidR="000636D5">
        <w:t xml:space="preserve">% deduction </w:t>
      </w:r>
      <w:r w:rsidR="00F87B9C">
        <w:t xml:space="preserve">of </w:t>
      </w:r>
      <w:r w:rsidR="00337DE9">
        <w:t>the same total</w:t>
      </w:r>
      <w:r w:rsidR="000636D5">
        <w:t xml:space="preserve"> revenue </w:t>
      </w:r>
      <w:r w:rsidR="00F87B9C">
        <w:t xml:space="preserve">is </w:t>
      </w:r>
      <w:r w:rsidR="000636D5">
        <w:t>for Planning Reserve which will be allocated during MDA budget defence</w:t>
      </w:r>
      <w:r w:rsidR="00F87B9C">
        <w:t xml:space="preserve"> to MDAs that are able to justify the need for more resources over and above the given ceiling</w:t>
      </w:r>
      <w:r w:rsidR="000636D5">
        <w:t>.</w:t>
      </w:r>
    </w:p>
    <w:p w:rsidR="00A76322" w:rsidRPr="008C1816" w:rsidRDefault="00A76322" w:rsidP="001D6B67">
      <w:pPr>
        <w:pStyle w:val="NumberedPara"/>
        <w:tabs>
          <w:tab w:val="clear" w:pos="1287"/>
          <w:tab w:val="num" w:pos="540"/>
        </w:tabs>
        <w:ind w:left="540" w:hanging="540"/>
      </w:pPr>
      <w:r w:rsidRPr="00AD2EAD">
        <w:rPr>
          <w:b/>
        </w:rPr>
        <w:t>Capital Expenditure</w:t>
      </w:r>
      <w:r>
        <w:t xml:space="preserve"> - </w:t>
      </w:r>
      <w:r w:rsidR="000636D5" w:rsidRPr="000636D5">
        <w:t>is based on the recurrent account surplus plus capital receipts</w:t>
      </w:r>
      <w:r w:rsidR="000636D5" w:rsidRPr="007D44BC">
        <w:t>.</w:t>
      </w:r>
    </w:p>
    <w:p w:rsidR="00A76322" w:rsidRDefault="00A76322" w:rsidP="00A76322">
      <w:pPr>
        <w:pStyle w:val="Heading3"/>
      </w:pPr>
      <w:bookmarkStart w:id="80" w:name="_Toc79827020"/>
      <w:r>
        <w:t>Fiscal Trends</w:t>
      </w:r>
      <w:bookmarkEnd w:id="80"/>
    </w:p>
    <w:p w:rsidR="00A76322" w:rsidRDefault="00F87B9C" w:rsidP="001D6B67">
      <w:pPr>
        <w:pStyle w:val="NumberedPara"/>
        <w:tabs>
          <w:tab w:val="clear" w:pos="1287"/>
          <w:tab w:val="num" w:pos="540"/>
        </w:tabs>
        <w:ind w:left="540" w:hanging="540"/>
      </w:pPr>
      <w:r>
        <w:t>The fiscal tre</w:t>
      </w:r>
      <w:r w:rsidR="00A168FC">
        <w:t>nd is depicted in the Figures 15 and 16</w:t>
      </w:r>
      <w:r>
        <w:t xml:space="preserve"> below with actual </w:t>
      </w:r>
      <w:r w:rsidR="00075ECF">
        <w:t>historical revenue and expenditure figures for the period 201</w:t>
      </w:r>
      <w:r w:rsidR="00D51903">
        <w:t>5-2020 and 2021</w:t>
      </w:r>
      <w:r w:rsidR="00337DE9">
        <w:t>-2</w:t>
      </w:r>
      <w:r w:rsidR="00D51903">
        <w:t>024</w:t>
      </w:r>
      <w:r w:rsidR="00075ECF">
        <w:t xml:space="preserve"> projected figures using the for</w:t>
      </w:r>
      <w:r w:rsidR="004F4204">
        <w:t>ecasting methods as noted in 3.C</w:t>
      </w:r>
      <w:r w:rsidR="00A76322">
        <w:t>.</w:t>
      </w:r>
    </w:p>
    <w:p w:rsidR="00A76322" w:rsidRDefault="00A76322" w:rsidP="00A76322"/>
    <w:p w:rsidR="00A76322" w:rsidRDefault="00A76322" w:rsidP="00A76322">
      <w:pPr>
        <w:sectPr w:rsidR="00A76322" w:rsidSect="007865DC">
          <w:pgSz w:w="11906" w:h="16838" w:code="9"/>
          <w:pgMar w:top="1440" w:right="1797" w:bottom="1258" w:left="990" w:header="709" w:footer="709" w:gutter="0"/>
          <w:cols w:space="708"/>
          <w:docGrid w:linePitch="360"/>
        </w:sectPr>
      </w:pPr>
    </w:p>
    <w:p w:rsidR="004F4204" w:rsidRPr="00693321" w:rsidRDefault="00D17C85" w:rsidP="00000CF4">
      <w:pPr>
        <w:pStyle w:val="StyleCaptionCentered"/>
        <w:rPr>
          <w:rFonts w:ascii="Arial Black" w:hAnsi="Arial Black"/>
        </w:rPr>
      </w:pPr>
      <w:bookmarkStart w:id="81" w:name="_Toc79828565"/>
      <w:r w:rsidRPr="00693321">
        <w:rPr>
          <w:rFonts w:ascii="Arial Black" w:hAnsi="Arial Black"/>
        </w:rPr>
        <w:lastRenderedPageBreak/>
        <w:t>Figure</w:t>
      </w:r>
      <w:r w:rsidR="00DF033A" w:rsidRPr="00693321">
        <w:rPr>
          <w:rFonts w:ascii="Arial Black" w:hAnsi="Arial Black"/>
        </w:rPr>
        <w:fldChar w:fldCharType="begin"/>
      </w:r>
      <w:r w:rsidRPr="00693321">
        <w:rPr>
          <w:rFonts w:ascii="Arial Black" w:hAnsi="Arial Black"/>
        </w:rPr>
        <w:instrText xml:space="preserve"> SEQ Figure \* ARABIC </w:instrText>
      </w:r>
      <w:r w:rsidR="00DF033A" w:rsidRPr="00693321">
        <w:rPr>
          <w:rFonts w:ascii="Arial Black" w:hAnsi="Arial Black"/>
        </w:rPr>
        <w:fldChar w:fldCharType="separate"/>
      </w:r>
      <w:r w:rsidR="007A24D6" w:rsidRPr="00693321">
        <w:rPr>
          <w:rFonts w:ascii="Arial Black" w:hAnsi="Arial Black"/>
          <w:noProof/>
        </w:rPr>
        <w:t>15</w:t>
      </w:r>
      <w:r w:rsidR="00DF033A" w:rsidRPr="00693321">
        <w:rPr>
          <w:rFonts w:ascii="Arial Black" w:hAnsi="Arial Black"/>
        </w:rPr>
        <w:fldChar w:fldCharType="end"/>
      </w:r>
      <w:r w:rsidRPr="00693321">
        <w:rPr>
          <w:rFonts w:ascii="Arial Black" w:hAnsi="Arial Black"/>
        </w:rPr>
        <w:t>:</w:t>
      </w:r>
      <w:r w:rsidR="000B0C62" w:rsidRPr="00693321">
        <w:rPr>
          <w:rFonts w:ascii="Arial Black" w:hAnsi="Arial Black"/>
        </w:rPr>
        <w:t xml:space="preserve"> </w:t>
      </w:r>
      <w:r w:rsidR="00A76322" w:rsidRPr="00693321">
        <w:rPr>
          <w:rFonts w:ascii="Arial Black" w:hAnsi="Arial Black"/>
        </w:rPr>
        <w:t>Kogi State Revenue Trend</w:t>
      </w:r>
      <w:bookmarkEnd w:id="81"/>
    </w:p>
    <w:p w:rsidR="000B0C62" w:rsidRDefault="00556F42" w:rsidP="00000CF4">
      <w:pPr>
        <w:pStyle w:val="StyleCaptionCentered"/>
        <w:rPr>
          <w:b w:val="0"/>
          <w:bCs w:val="0"/>
        </w:rPr>
      </w:pPr>
      <w:r w:rsidRPr="00556F42">
        <w:rPr>
          <w:noProof/>
          <w:lang w:val="en-US" w:eastAsia="en-US"/>
        </w:rPr>
        <w:drawing>
          <wp:inline distT="0" distB="0" distL="0" distR="0">
            <wp:extent cx="8863330" cy="446288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63330" cy="4462883"/>
                    </a:xfrm>
                    <a:prstGeom prst="rect">
                      <a:avLst/>
                    </a:prstGeom>
                    <a:noFill/>
                    <a:ln>
                      <a:noFill/>
                    </a:ln>
                  </pic:spPr>
                </pic:pic>
              </a:graphicData>
            </a:graphic>
          </wp:inline>
        </w:drawing>
      </w:r>
    </w:p>
    <w:p w:rsidR="00EE6497" w:rsidRDefault="00EE6497" w:rsidP="00000CF4">
      <w:pPr>
        <w:pStyle w:val="StyleCaptionCentered"/>
        <w:rPr>
          <w:b w:val="0"/>
          <w:bCs w:val="0"/>
        </w:rPr>
      </w:pPr>
    </w:p>
    <w:p w:rsidR="002F5C4E" w:rsidRPr="00693321" w:rsidRDefault="00A76322" w:rsidP="004F4204">
      <w:pPr>
        <w:pStyle w:val="StyleCaptionCentered"/>
        <w:rPr>
          <w:rFonts w:ascii="Arial Black" w:hAnsi="Arial Black"/>
        </w:rPr>
      </w:pPr>
      <w:r>
        <w:br w:type="page"/>
      </w:r>
      <w:bookmarkStart w:id="82" w:name="_Toc79828566"/>
      <w:r w:rsidR="00D17C85" w:rsidRPr="00693321">
        <w:rPr>
          <w:rFonts w:ascii="Arial Black" w:hAnsi="Arial Black"/>
        </w:rPr>
        <w:lastRenderedPageBreak/>
        <w:t>Figure</w:t>
      </w:r>
      <w:r w:rsidR="00DF033A" w:rsidRPr="00693321">
        <w:rPr>
          <w:rFonts w:ascii="Arial Black" w:hAnsi="Arial Black"/>
        </w:rPr>
        <w:fldChar w:fldCharType="begin"/>
      </w:r>
      <w:r w:rsidR="00D17C85" w:rsidRPr="00693321">
        <w:rPr>
          <w:rFonts w:ascii="Arial Black" w:hAnsi="Arial Black"/>
        </w:rPr>
        <w:instrText xml:space="preserve"> SEQ Figure \* ARABIC </w:instrText>
      </w:r>
      <w:r w:rsidR="00DF033A" w:rsidRPr="00693321">
        <w:rPr>
          <w:rFonts w:ascii="Arial Black" w:hAnsi="Arial Black"/>
        </w:rPr>
        <w:fldChar w:fldCharType="separate"/>
      </w:r>
      <w:r w:rsidR="007A24D6" w:rsidRPr="00693321">
        <w:rPr>
          <w:rFonts w:ascii="Arial Black" w:hAnsi="Arial Black"/>
          <w:noProof/>
        </w:rPr>
        <w:t>16</w:t>
      </w:r>
      <w:r w:rsidR="00DF033A" w:rsidRPr="00693321">
        <w:rPr>
          <w:rFonts w:ascii="Arial Black" w:hAnsi="Arial Black"/>
        </w:rPr>
        <w:fldChar w:fldCharType="end"/>
      </w:r>
      <w:r w:rsidR="00D17C85" w:rsidRPr="00693321">
        <w:rPr>
          <w:rFonts w:ascii="Arial Black" w:hAnsi="Arial Black"/>
        </w:rPr>
        <w:t>:</w:t>
      </w:r>
      <w:r w:rsidR="007264F0" w:rsidRPr="00693321">
        <w:rPr>
          <w:rFonts w:ascii="Arial Black" w:hAnsi="Arial Black"/>
        </w:rPr>
        <w:t xml:space="preserve"> </w:t>
      </w:r>
      <w:r w:rsidRPr="00693321">
        <w:rPr>
          <w:rFonts w:ascii="Arial Black" w:hAnsi="Arial Black"/>
        </w:rPr>
        <w:t>Kogi State Expenditure Trend</w:t>
      </w:r>
      <w:bookmarkEnd w:id="82"/>
    </w:p>
    <w:p w:rsidR="00556F42" w:rsidRDefault="00556F42" w:rsidP="00A76322">
      <w:pPr>
        <w:pStyle w:val="StyleCaptionCentered"/>
        <w:sectPr w:rsidR="00556F42" w:rsidSect="00A76322">
          <w:pgSz w:w="16838" w:h="11906" w:orient="landscape" w:code="9"/>
          <w:pgMar w:top="1440" w:right="1440" w:bottom="1797" w:left="1440" w:header="709" w:footer="709" w:gutter="0"/>
          <w:cols w:space="708"/>
          <w:docGrid w:linePitch="360"/>
        </w:sectPr>
      </w:pPr>
      <w:r w:rsidRPr="00556F42">
        <w:rPr>
          <w:noProof/>
          <w:lang w:val="en-US" w:eastAsia="en-US"/>
        </w:rPr>
        <w:drawing>
          <wp:inline distT="0" distB="0" distL="0" distR="0">
            <wp:extent cx="8863330" cy="4451395"/>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63330" cy="4451395"/>
                    </a:xfrm>
                    <a:prstGeom prst="rect">
                      <a:avLst/>
                    </a:prstGeom>
                    <a:noFill/>
                    <a:ln>
                      <a:noFill/>
                    </a:ln>
                  </pic:spPr>
                </pic:pic>
              </a:graphicData>
            </a:graphic>
          </wp:inline>
        </w:drawing>
      </w:r>
    </w:p>
    <w:p w:rsidR="00A76322" w:rsidRDefault="00A76322" w:rsidP="00A76322">
      <w:pPr>
        <w:pStyle w:val="Heading2"/>
      </w:pPr>
      <w:bookmarkStart w:id="83" w:name="_Toc380047449"/>
      <w:bookmarkStart w:id="84" w:name="_Toc454798312"/>
      <w:bookmarkStart w:id="85" w:name="_Toc79827021"/>
      <w:bookmarkStart w:id="86" w:name="_Toc340045254"/>
      <w:bookmarkStart w:id="87" w:name="_Toc340053646"/>
      <w:r>
        <w:lastRenderedPageBreak/>
        <w:t>Fiscal Risks</w:t>
      </w:r>
      <w:bookmarkEnd w:id="83"/>
      <w:bookmarkEnd w:id="84"/>
      <w:bookmarkEnd w:id="85"/>
    </w:p>
    <w:p w:rsidR="00A76322" w:rsidRDefault="00075ECF" w:rsidP="001D6B67">
      <w:pPr>
        <w:pStyle w:val="NumberedPara"/>
        <w:tabs>
          <w:tab w:val="clear" w:pos="1287"/>
          <w:tab w:val="num" w:pos="540"/>
        </w:tabs>
        <w:ind w:left="540" w:hanging="540"/>
      </w:pPr>
      <w:r>
        <w:t>It is pertinent to note that the ability of the State to achieve the estim</w:t>
      </w:r>
      <w:r w:rsidR="006F3F6C">
        <w:t xml:space="preserve">ated </w:t>
      </w:r>
      <w:r w:rsidR="00D51903">
        <w:t>fiscal figures for the 2022-2024</w:t>
      </w:r>
      <w:r>
        <w:t xml:space="preserve"> medium term horizon is subject to some fiscal risks</w:t>
      </w:r>
      <w:r w:rsidR="00A76322">
        <w:t>.</w:t>
      </w:r>
      <w:r>
        <w:t xml:space="preserve">  Table 9 below shows, as much as possible, our understanding of inherent fiscal risks, the likelihood of occurrence of such risks and the expected reaction to mitigate the effect of the risks.</w:t>
      </w:r>
    </w:p>
    <w:p w:rsidR="00A76322" w:rsidRDefault="00A76322" w:rsidP="00A76322">
      <w:pPr>
        <w:pStyle w:val="Caption"/>
      </w:pPr>
      <w:bookmarkStart w:id="88" w:name="_Toc79827152"/>
      <w:r>
        <w:t xml:space="preserve">Table </w:t>
      </w:r>
      <w:r w:rsidR="00DF033A">
        <w:fldChar w:fldCharType="begin"/>
      </w:r>
      <w:r>
        <w:instrText xml:space="preserve"> SEQ Table \* ARABIC </w:instrText>
      </w:r>
      <w:r w:rsidR="00DF033A">
        <w:fldChar w:fldCharType="separate"/>
      </w:r>
      <w:r w:rsidR="007A24D6">
        <w:rPr>
          <w:noProof/>
        </w:rPr>
        <w:t>9</w:t>
      </w:r>
      <w:r w:rsidR="00DF033A">
        <w:fldChar w:fldCharType="end"/>
      </w:r>
      <w:r>
        <w:t>: Fiscal Risks</w:t>
      </w:r>
      <w:bookmarkEnd w:id="88"/>
    </w:p>
    <w:tbl>
      <w:tblPr>
        <w:tblW w:w="8388"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9"/>
        <w:gridCol w:w="1356"/>
        <w:gridCol w:w="3733"/>
      </w:tblGrid>
      <w:tr w:rsidR="00A76322" w:rsidRPr="007C02C2" w:rsidTr="00F11337">
        <w:tc>
          <w:tcPr>
            <w:tcW w:w="3299" w:type="dxa"/>
            <w:shd w:val="clear" w:color="auto" w:fill="758453"/>
          </w:tcPr>
          <w:p w:rsidR="00A76322" w:rsidRPr="007C02C2" w:rsidRDefault="00A76322" w:rsidP="00A76322">
            <w:pPr>
              <w:rPr>
                <w:b/>
                <w:color w:val="FFFFFF"/>
              </w:rPr>
            </w:pPr>
            <w:r w:rsidRPr="007C02C2">
              <w:rPr>
                <w:b/>
                <w:color w:val="FFFFFF"/>
              </w:rPr>
              <w:t>Risk</w:t>
            </w:r>
          </w:p>
        </w:tc>
        <w:tc>
          <w:tcPr>
            <w:tcW w:w="1356" w:type="dxa"/>
            <w:shd w:val="clear" w:color="auto" w:fill="758453"/>
          </w:tcPr>
          <w:p w:rsidR="00A76322" w:rsidRPr="007C02C2" w:rsidRDefault="00A76322" w:rsidP="00A76322">
            <w:pPr>
              <w:rPr>
                <w:b/>
                <w:color w:val="FFFFFF"/>
              </w:rPr>
            </w:pPr>
            <w:r w:rsidRPr="007C02C2">
              <w:rPr>
                <w:b/>
                <w:color w:val="FFFFFF"/>
              </w:rPr>
              <w:t>Likelihood</w:t>
            </w:r>
          </w:p>
        </w:tc>
        <w:tc>
          <w:tcPr>
            <w:tcW w:w="3733" w:type="dxa"/>
            <w:shd w:val="clear" w:color="auto" w:fill="758453"/>
          </w:tcPr>
          <w:p w:rsidR="00A76322" w:rsidRPr="007C02C2" w:rsidRDefault="00A76322" w:rsidP="00A76322">
            <w:pPr>
              <w:rPr>
                <w:b/>
                <w:color w:val="FFFFFF"/>
              </w:rPr>
            </w:pPr>
            <w:r w:rsidRPr="007C02C2">
              <w:rPr>
                <w:b/>
                <w:color w:val="FFFFFF"/>
              </w:rPr>
              <w:t>Reaction</w:t>
            </w:r>
          </w:p>
        </w:tc>
      </w:tr>
      <w:tr w:rsidR="00F11337" w:rsidTr="00F11337">
        <w:tc>
          <w:tcPr>
            <w:tcW w:w="3299" w:type="dxa"/>
            <w:shd w:val="clear" w:color="auto" w:fill="auto"/>
          </w:tcPr>
          <w:p w:rsidR="00F11337" w:rsidRPr="00AD086F" w:rsidRDefault="00ED22A2" w:rsidP="00B70382">
            <w:r>
              <w:t>Security challenges nationwi</w:t>
            </w:r>
            <w:r w:rsidR="00711245">
              <w:t xml:space="preserve">de such as </w:t>
            </w:r>
            <w:r w:rsidR="00B70382">
              <w:t xml:space="preserve">Movement for the Actualisation of Sovereign State of </w:t>
            </w:r>
            <w:r w:rsidR="00250BAD">
              <w:t>Biafra (MASSOB)</w:t>
            </w:r>
            <w:r>
              <w:t xml:space="preserve">, </w:t>
            </w:r>
            <w:r w:rsidR="00250BAD">
              <w:t>Indigenous People of Biafra (</w:t>
            </w:r>
            <w:r>
              <w:t>IPOB</w:t>
            </w:r>
            <w:r w:rsidR="00250BAD">
              <w:t>)</w:t>
            </w:r>
            <w:r>
              <w:t>, Boko Haram</w:t>
            </w:r>
            <w:r w:rsidR="00393DEA">
              <w:t xml:space="preserve">, </w:t>
            </w:r>
            <w:r w:rsidR="00691512">
              <w:t>Kidnapping</w:t>
            </w:r>
            <w:r w:rsidR="006F3F6C">
              <w:t>, Herdsmen Attack</w:t>
            </w:r>
            <w:r w:rsidR="00A168FC">
              <w:t xml:space="preserve">, </w:t>
            </w:r>
            <w:r w:rsidR="00C50E4F">
              <w:t>and ramped</w:t>
            </w:r>
            <w:r w:rsidR="00962EF4">
              <w:t xml:space="preserve"> inter-tribal crises</w:t>
            </w:r>
            <w:r w:rsidR="00A17F2C">
              <w:t>,</w:t>
            </w:r>
            <w:r>
              <w:t xml:space="preserve"> </w:t>
            </w:r>
            <w:r w:rsidR="00D51903">
              <w:t xml:space="preserve">Gun Men </w:t>
            </w:r>
            <w:r>
              <w:t>etc</w:t>
            </w:r>
            <w:r w:rsidR="00F11337" w:rsidRPr="00AD086F">
              <w:t xml:space="preserve"> causing reductions in VAT</w:t>
            </w:r>
            <w:r w:rsidR="00393DEA">
              <w:t>,</w:t>
            </w:r>
            <w:r w:rsidR="00F11337" w:rsidRPr="00AD086F">
              <w:t xml:space="preserve"> other federal transfers</w:t>
            </w:r>
            <w:r w:rsidR="00393DEA">
              <w:t xml:space="preserve"> and some State IGR</w:t>
            </w:r>
            <w:r w:rsidR="00D451AA">
              <w:t>.</w:t>
            </w:r>
          </w:p>
        </w:tc>
        <w:tc>
          <w:tcPr>
            <w:tcW w:w="1356" w:type="dxa"/>
            <w:shd w:val="clear" w:color="auto" w:fill="auto"/>
          </w:tcPr>
          <w:p w:rsidR="00F11337" w:rsidRDefault="00924921" w:rsidP="00ED22A2">
            <w:r>
              <w:t>High</w:t>
            </w:r>
          </w:p>
        </w:tc>
        <w:tc>
          <w:tcPr>
            <w:tcW w:w="3733" w:type="dxa"/>
            <w:shd w:val="clear" w:color="auto" w:fill="auto"/>
          </w:tcPr>
          <w:p w:rsidR="00F11337" w:rsidRDefault="00ED22A2" w:rsidP="00D451AA">
            <w:r>
              <w:t>In longer term, Kogi</w:t>
            </w:r>
            <w:r w:rsidR="00962EF4">
              <w:t xml:space="preserve"> </w:t>
            </w:r>
            <w:r w:rsidR="00D451AA">
              <w:t>S</w:t>
            </w:r>
            <w:r w:rsidR="00D451AA" w:rsidRPr="00AD086F">
              <w:t xml:space="preserve">tate </w:t>
            </w:r>
            <w:r w:rsidRPr="00AD086F">
              <w:t xml:space="preserve">must become less dependent on Statutory Allocation, VAT and Excess Crude to funds its expenditure – this would be achieved through higher IGR collection. In the short term, capital projects must be </w:t>
            </w:r>
            <w:r w:rsidR="00D451AA" w:rsidRPr="00AD086F">
              <w:t>prioritise</w:t>
            </w:r>
            <w:r w:rsidR="00D451AA">
              <w:t>d</w:t>
            </w:r>
            <w:r w:rsidR="00962EF4">
              <w:t xml:space="preserve"> </w:t>
            </w:r>
            <w:r w:rsidRPr="00AD086F">
              <w:t xml:space="preserve">and Overhead expenditure must be flexible </w:t>
            </w:r>
            <w:r w:rsidR="00D451AA">
              <w:t>to</w:t>
            </w:r>
            <w:r w:rsidR="00962EF4">
              <w:t xml:space="preserve"> </w:t>
            </w:r>
            <w:r w:rsidRPr="00AD086F">
              <w:t>reduction if short-falls are experienced.</w:t>
            </w:r>
          </w:p>
        </w:tc>
      </w:tr>
      <w:tr w:rsidR="00ED22A2" w:rsidTr="00F11337">
        <w:tc>
          <w:tcPr>
            <w:tcW w:w="3299" w:type="dxa"/>
            <w:shd w:val="clear" w:color="auto" w:fill="auto"/>
          </w:tcPr>
          <w:p w:rsidR="00ED22A2" w:rsidRPr="00FC11F8" w:rsidRDefault="00ED22A2" w:rsidP="002B619F">
            <w:r w:rsidRPr="00FC11F8">
              <w:t xml:space="preserve">Risks to Statutory Allocation and Excess Crude based on Oil Price or Production shock </w:t>
            </w:r>
          </w:p>
        </w:tc>
        <w:tc>
          <w:tcPr>
            <w:tcW w:w="1356" w:type="dxa"/>
            <w:shd w:val="clear" w:color="auto" w:fill="auto"/>
          </w:tcPr>
          <w:p w:rsidR="00ED22A2" w:rsidRDefault="00ED22A2" w:rsidP="00ED22A2">
            <w:r w:rsidRPr="00FC11F8">
              <w:t>High</w:t>
            </w:r>
          </w:p>
        </w:tc>
        <w:tc>
          <w:tcPr>
            <w:tcW w:w="3733" w:type="dxa"/>
            <w:shd w:val="clear" w:color="auto" w:fill="auto"/>
          </w:tcPr>
          <w:p w:rsidR="00ED22A2" w:rsidRDefault="00ED22A2" w:rsidP="00AA5D59">
            <w:r w:rsidRPr="00732CCD">
              <w:rPr>
                <w:rFonts w:cs="Tahoma"/>
              </w:rPr>
              <w:t>The bud</w:t>
            </w:r>
            <w:r w:rsidR="00AA5D59">
              <w:rPr>
                <w:rFonts w:cs="Tahoma"/>
              </w:rPr>
              <w:t>get for excess crude is prudent.</w:t>
            </w:r>
            <w:r w:rsidRPr="00732CCD">
              <w:rPr>
                <w:rFonts w:cs="Tahoma"/>
              </w:rPr>
              <w:t xml:space="preserve"> </w:t>
            </w:r>
            <w:r w:rsidR="00AA5D59">
              <w:rPr>
                <w:rFonts w:cs="Tahoma"/>
              </w:rPr>
              <w:t>H</w:t>
            </w:r>
            <w:r w:rsidRPr="00732CCD">
              <w:rPr>
                <w:rFonts w:cs="Tahoma"/>
              </w:rPr>
              <w:t>owever, clear prioritisation of projects in the capital budget</w:t>
            </w:r>
            <w:r>
              <w:rPr>
                <w:rFonts w:cs="Tahoma"/>
              </w:rPr>
              <w:t xml:space="preserve"> is required</w:t>
            </w:r>
            <w:r w:rsidRPr="00732CCD">
              <w:rPr>
                <w:rFonts w:cs="Tahoma"/>
              </w:rPr>
              <w:t>. Increased IGR effort to decrease reliance on federal transfers and seeking alternative means of funding (grants, PPP etc</w:t>
            </w:r>
            <w:r>
              <w:rPr>
                <w:rFonts w:cs="Tahoma"/>
              </w:rPr>
              <w:t>.</w:t>
            </w:r>
            <w:r w:rsidRPr="00732CCD">
              <w:rPr>
                <w:rFonts w:cs="Tahoma"/>
              </w:rPr>
              <w:t>)</w:t>
            </w:r>
          </w:p>
        </w:tc>
      </w:tr>
      <w:tr w:rsidR="008A5284" w:rsidTr="00F11337">
        <w:tc>
          <w:tcPr>
            <w:tcW w:w="3299" w:type="dxa"/>
            <w:shd w:val="clear" w:color="auto" w:fill="auto"/>
          </w:tcPr>
          <w:p w:rsidR="008A5284" w:rsidRPr="00732CCD" w:rsidRDefault="008A5284" w:rsidP="005A2FA0">
            <w:pPr>
              <w:rPr>
                <w:rFonts w:cs="Tahoma"/>
              </w:rPr>
            </w:pPr>
            <w:r w:rsidRPr="00732CCD">
              <w:rPr>
                <w:rFonts w:cs="Tahoma"/>
              </w:rPr>
              <w:t>Floods and other natural disasters</w:t>
            </w:r>
            <w:r w:rsidR="00962EF4">
              <w:rPr>
                <w:rFonts w:cs="Tahoma"/>
              </w:rPr>
              <w:t xml:space="preserve"> </w:t>
            </w:r>
            <w:r w:rsidR="007D1925">
              <w:rPr>
                <w:rFonts w:cs="Tahoma"/>
              </w:rPr>
              <w:t>e.g.</w:t>
            </w:r>
            <w:r>
              <w:rPr>
                <w:rFonts w:cs="Tahoma"/>
              </w:rPr>
              <w:t xml:space="preserve"> 2012</w:t>
            </w:r>
            <w:r w:rsidR="008D7A72">
              <w:rPr>
                <w:rFonts w:cs="Tahoma"/>
              </w:rPr>
              <w:t>, 2015,</w:t>
            </w:r>
            <w:r w:rsidR="00962EF4">
              <w:rPr>
                <w:rFonts w:cs="Tahoma"/>
              </w:rPr>
              <w:t xml:space="preserve"> 2018</w:t>
            </w:r>
            <w:r w:rsidR="008D7A72">
              <w:rPr>
                <w:rFonts w:cs="Tahoma"/>
              </w:rPr>
              <w:t xml:space="preserve"> and 2019</w:t>
            </w:r>
            <w:r>
              <w:rPr>
                <w:rFonts w:cs="Tahoma"/>
              </w:rPr>
              <w:t xml:space="preserve"> flooding,</w:t>
            </w:r>
            <w:r w:rsidRPr="00732CCD">
              <w:rPr>
                <w:rFonts w:cs="Tahoma"/>
              </w:rPr>
              <w:t xml:space="preserve"> impact on economic activity and hence IGR tax base, and causing increased overhead expenditure  </w:t>
            </w:r>
          </w:p>
        </w:tc>
        <w:tc>
          <w:tcPr>
            <w:tcW w:w="1356" w:type="dxa"/>
            <w:shd w:val="clear" w:color="auto" w:fill="auto"/>
          </w:tcPr>
          <w:p w:rsidR="008A5284" w:rsidRDefault="008A5284" w:rsidP="00A76322">
            <w:r>
              <w:t>Medium</w:t>
            </w:r>
          </w:p>
        </w:tc>
        <w:tc>
          <w:tcPr>
            <w:tcW w:w="3733" w:type="dxa"/>
            <w:shd w:val="clear" w:color="auto" w:fill="auto"/>
          </w:tcPr>
          <w:p w:rsidR="008A5284" w:rsidRPr="00732CCD" w:rsidRDefault="008A5284" w:rsidP="005A2FA0">
            <w:pPr>
              <w:rPr>
                <w:rFonts w:cs="Tahoma"/>
              </w:rPr>
            </w:pPr>
            <w:r w:rsidRPr="00732CCD">
              <w:rPr>
                <w:rFonts w:cs="Tahoma"/>
              </w:rPr>
              <w:t>Increased investment to increase climate resilience (flood control and irrigation) adaptation, and awareness</w:t>
            </w:r>
          </w:p>
        </w:tc>
      </w:tr>
      <w:tr w:rsidR="008A5284" w:rsidTr="00F11337">
        <w:tc>
          <w:tcPr>
            <w:tcW w:w="3299" w:type="dxa"/>
            <w:shd w:val="clear" w:color="auto" w:fill="auto"/>
          </w:tcPr>
          <w:p w:rsidR="008A5284" w:rsidRDefault="007D1925" w:rsidP="00A76322">
            <w:r>
              <w:t>Security situations has impact on</w:t>
            </w:r>
            <w:r w:rsidR="00582135" w:rsidRPr="00582135">
              <w:t xml:space="preserve"> soci</w:t>
            </w:r>
            <w:r w:rsidR="004023FC">
              <w:t>al welfare, employment and policies thus</w:t>
            </w:r>
            <w:r w:rsidR="00582135" w:rsidRPr="00582135">
              <w:t xml:space="preserve"> impacting expenditure in related sectors</w:t>
            </w:r>
          </w:p>
        </w:tc>
        <w:tc>
          <w:tcPr>
            <w:tcW w:w="1356" w:type="dxa"/>
            <w:shd w:val="clear" w:color="auto" w:fill="auto"/>
          </w:tcPr>
          <w:p w:rsidR="008A5284" w:rsidRDefault="00582135" w:rsidP="00A76322">
            <w:r>
              <w:t>Medium</w:t>
            </w:r>
          </w:p>
        </w:tc>
        <w:tc>
          <w:tcPr>
            <w:tcW w:w="3733" w:type="dxa"/>
            <w:shd w:val="clear" w:color="auto" w:fill="auto"/>
          </w:tcPr>
          <w:p w:rsidR="008A5284" w:rsidRDefault="007D1925" w:rsidP="007D1925">
            <w:r>
              <w:t>Expenditure is prioritised</w:t>
            </w:r>
            <w:r w:rsidR="00582135" w:rsidRPr="00582135">
              <w:t xml:space="preserve"> in appropriate sectors, and focus on employment creation in partnership with private sector. Greater emphasis on community mobilisation.</w:t>
            </w:r>
          </w:p>
        </w:tc>
      </w:tr>
      <w:tr w:rsidR="0016335A" w:rsidTr="00F11337">
        <w:tc>
          <w:tcPr>
            <w:tcW w:w="3299" w:type="dxa"/>
            <w:shd w:val="clear" w:color="auto" w:fill="auto"/>
          </w:tcPr>
          <w:p w:rsidR="0016335A" w:rsidRDefault="0016335A" w:rsidP="00A76322">
            <w:r w:rsidRPr="00732CCD">
              <w:rPr>
                <w:rFonts w:cs="Tahoma"/>
              </w:rPr>
              <w:t>Mismanagement and inefficient use of financial resources</w:t>
            </w:r>
          </w:p>
        </w:tc>
        <w:tc>
          <w:tcPr>
            <w:tcW w:w="1356" w:type="dxa"/>
            <w:shd w:val="clear" w:color="auto" w:fill="auto"/>
          </w:tcPr>
          <w:p w:rsidR="0016335A" w:rsidRDefault="0016335A" w:rsidP="00A76322">
            <w:r>
              <w:t>High</w:t>
            </w:r>
          </w:p>
        </w:tc>
        <w:tc>
          <w:tcPr>
            <w:tcW w:w="3733" w:type="dxa"/>
            <w:shd w:val="clear" w:color="auto" w:fill="auto"/>
          </w:tcPr>
          <w:p w:rsidR="0016335A" w:rsidRPr="00732CCD" w:rsidRDefault="0016335A" w:rsidP="005A2FA0">
            <w:pPr>
              <w:rPr>
                <w:rFonts w:cs="Tahoma"/>
              </w:rPr>
            </w:pPr>
            <w:r w:rsidRPr="00732CCD">
              <w:rPr>
                <w:rFonts w:cs="Tahoma"/>
              </w:rPr>
              <w:t xml:space="preserve">Adherence to existing and new institutional and legal/regulatory framework that will require more </w:t>
            </w:r>
            <w:r w:rsidRPr="00732CCD">
              <w:rPr>
                <w:rFonts w:cs="Tahoma"/>
              </w:rPr>
              <w:lastRenderedPageBreak/>
              <w:t>transparent and efficient use of financial resources.</w:t>
            </w:r>
          </w:p>
        </w:tc>
      </w:tr>
      <w:tr w:rsidR="00072DC0" w:rsidTr="00AA54A3">
        <w:trPr>
          <w:trHeight w:val="1598"/>
        </w:trPr>
        <w:tc>
          <w:tcPr>
            <w:tcW w:w="3299" w:type="dxa"/>
            <w:shd w:val="clear" w:color="auto" w:fill="auto"/>
          </w:tcPr>
          <w:p w:rsidR="00072DC0" w:rsidRPr="00E645BE" w:rsidRDefault="00072DC0" w:rsidP="00E733FD">
            <w:r w:rsidRPr="00E645BE">
              <w:lastRenderedPageBreak/>
              <w:t>Risks based</w:t>
            </w:r>
            <w:r>
              <w:t xml:space="preserve"> on high inflation due to increased taxes which could result to high prices</w:t>
            </w:r>
            <w:r w:rsidR="00962EF4">
              <w:t xml:space="preserve"> </w:t>
            </w:r>
            <w:r>
              <w:t>leading to unconducive people welfare.</w:t>
            </w:r>
          </w:p>
        </w:tc>
        <w:tc>
          <w:tcPr>
            <w:tcW w:w="1356" w:type="dxa"/>
            <w:shd w:val="clear" w:color="auto" w:fill="auto"/>
          </w:tcPr>
          <w:p w:rsidR="00072DC0" w:rsidRDefault="00711245" w:rsidP="00E733FD">
            <w:r>
              <w:t>High</w:t>
            </w:r>
          </w:p>
        </w:tc>
        <w:tc>
          <w:tcPr>
            <w:tcW w:w="3733" w:type="dxa"/>
            <w:shd w:val="clear" w:color="auto" w:fill="auto"/>
          </w:tcPr>
          <w:p w:rsidR="00072DC0" w:rsidRDefault="00072DC0" w:rsidP="00E733FD">
            <w:r>
              <w:t>Increase domestic investments to reduce high level of dependence on imported goods</w:t>
            </w:r>
            <w:r w:rsidRPr="00E645BE">
              <w:t>.</w:t>
            </w:r>
          </w:p>
        </w:tc>
      </w:tr>
      <w:tr w:rsidR="0016335A" w:rsidTr="00F11337">
        <w:tc>
          <w:tcPr>
            <w:tcW w:w="3299" w:type="dxa"/>
            <w:shd w:val="clear" w:color="auto" w:fill="auto"/>
          </w:tcPr>
          <w:p w:rsidR="0016335A" w:rsidRDefault="002D3CB9" w:rsidP="002D3CB9">
            <w:r w:rsidRPr="002D3CB9">
              <w:t xml:space="preserve">Challenges to strengthening the fiscal framework will continue to put pressure on spending, thus, potentially crowding out </w:t>
            </w:r>
            <w:r>
              <w:t xml:space="preserve">progressive </w:t>
            </w:r>
            <w:r w:rsidRPr="002D3CB9">
              <w:t xml:space="preserve">growth expenditure. </w:t>
            </w:r>
          </w:p>
        </w:tc>
        <w:tc>
          <w:tcPr>
            <w:tcW w:w="1356" w:type="dxa"/>
            <w:shd w:val="clear" w:color="auto" w:fill="auto"/>
          </w:tcPr>
          <w:p w:rsidR="007140BD" w:rsidRDefault="00C212F4" w:rsidP="00A76322">
            <w:r>
              <w:t>Medium</w:t>
            </w:r>
          </w:p>
          <w:p w:rsidR="007140BD" w:rsidRPr="007140BD" w:rsidRDefault="007140BD" w:rsidP="007140BD"/>
          <w:p w:rsidR="007140BD" w:rsidRDefault="007140BD" w:rsidP="007140BD"/>
          <w:p w:rsidR="0016335A" w:rsidRPr="007140BD" w:rsidRDefault="0016335A" w:rsidP="007140BD">
            <w:pPr>
              <w:jc w:val="center"/>
            </w:pPr>
          </w:p>
        </w:tc>
        <w:tc>
          <w:tcPr>
            <w:tcW w:w="3733" w:type="dxa"/>
            <w:shd w:val="clear" w:color="auto" w:fill="auto"/>
          </w:tcPr>
          <w:p w:rsidR="0016335A" w:rsidRDefault="002D3CB9" w:rsidP="00393DEA">
            <w:r w:rsidRPr="002D3CB9">
              <w:t>This will jeopardize macroeconomic stability as inflation increases and fiscal buffers decline, thereby, undermining Government’s fiscal consolidation plans</w:t>
            </w:r>
            <w:r w:rsidR="00393DEA">
              <w:t>, thus government is expected to intensify effort in IGR drive and reduce expenditures that are not prioritised to overall objectives of the State.</w:t>
            </w:r>
          </w:p>
        </w:tc>
      </w:tr>
      <w:tr w:rsidR="00AA5D59" w:rsidTr="00F11337">
        <w:tc>
          <w:tcPr>
            <w:tcW w:w="3299" w:type="dxa"/>
            <w:shd w:val="clear" w:color="auto" w:fill="auto"/>
          </w:tcPr>
          <w:p w:rsidR="00AA5D59" w:rsidRPr="00C61C82" w:rsidRDefault="00AA5D59" w:rsidP="002D3CB9">
            <w:r w:rsidRPr="00C61C82">
              <w:t>Challenge of COVID-19 and other related issues</w:t>
            </w:r>
          </w:p>
        </w:tc>
        <w:tc>
          <w:tcPr>
            <w:tcW w:w="1356" w:type="dxa"/>
            <w:shd w:val="clear" w:color="auto" w:fill="auto"/>
          </w:tcPr>
          <w:p w:rsidR="00AA5D59" w:rsidRPr="00C61C82" w:rsidRDefault="00914945" w:rsidP="00A76322">
            <w:r w:rsidRPr="00C61C82">
              <w:t>High</w:t>
            </w:r>
          </w:p>
        </w:tc>
        <w:tc>
          <w:tcPr>
            <w:tcW w:w="3733" w:type="dxa"/>
            <w:shd w:val="clear" w:color="auto" w:fill="auto"/>
          </w:tcPr>
          <w:p w:rsidR="00AA5D59" w:rsidRPr="00C61C82" w:rsidRDefault="00AA5D59" w:rsidP="008D7A72">
            <w:r w:rsidRPr="00C61C82">
              <w:t>This seriously contracted the expecte</w:t>
            </w:r>
            <w:r w:rsidR="008D7A72">
              <w:t>d revenues for the approved 2021</w:t>
            </w:r>
            <w:r w:rsidRPr="00C61C82">
              <w:t xml:space="preserve"> Budget.</w:t>
            </w:r>
          </w:p>
        </w:tc>
      </w:tr>
    </w:tbl>
    <w:p w:rsidR="00A76322" w:rsidRDefault="00A76322" w:rsidP="001D6B67">
      <w:pPr>
        <w:pStyle w:val="NumberedPara"/>
        <w:tabs>
          <w:tab w:val="clear" w:pos="1287"/>
          <w:tab w:val="num" w:pos="540"/>
        </w:tabs>
        <w:ind w:left="540" w:hanging="540"/>
      </w:pPr>
      <w:r>
        <w:t>It should be noted however that no budget is without risk.  The on</w:t>
      </w:r>
      <w:r w:rsidR="008D7A72">
        <w:t>going implementation of the 2021</w:t>
      </w:r>
      <w:r>
        <w:t xml:space="preserve"> budget should be closely monitored</w:t>
      </w:r>
      <w:r w:rsidR="00D451AA">
        <w:t>.</w:t>
      </w:r>
    </w:p>
    <w:p w:rsidR="00A76322" w:rsidRDefault="00A76322" w:rsidP="00A76322">
      <w:pPr>
        <w:pStyle w:val="Heading1"/>
      </w:pPr>
      <w:bookmarkStart w:id="89" w:name="_Toc454798313"/>
      <w:bookmarkStart w:id="90" w:name="_Toc79827022"/>
      <w:r>
        <w:lastRenderedPageBreak/>
        <w:t>Budget Policy Statement</w:t>
      </w:r>
      <w:bookmarkEnd w:id="89"/>
      <w:bookmarkEnd w:id="90"/>
    </w:p>
    <w:p w:rsidR="00A76322" w:rsidRDefault="00A76322" w:rsidP="00A76322">
      <w:pPr>
        <w:pStyle w:val="Heading2"/>
      </w:pPr>
      <w:bookmarkStart w:id="91" w:name="_Toc454798314"/>
      <w:bookmarkStart w:id="92" w:name="_Toc79827023"/>
      <w:r>
        <w:t>Budget Policy Thrust</w:t>
      </w:r>
      <w:bookmarkEnd w:id="91"/>
      <w:bookmarkEnd w:id="92"/>
    </w:p>
    <w:p w:rsidR="00A76322" w:rsidRDefault="003132CB" w:rsidP="001D6B67">
      <w:pPr>
        <w:pStyle w:val="NumberedPara"/>
        <w:tabs>
          <w:tab w:val="clear" w:pos="1287"/>
          <w:tab w:val="num" w:pos="720"/>
        </w:tabs>
        <w:ind w:left="720" w:hanging="720"/>
      </w:pPr>
      <w:r>
        <w:t xml:space="preserve">The Medium </w:t>
      </w:r>
      <w:r w:rsidR="007F3C77">
        <w:t>Term Expenditure Framework (2022 – 2024</w:t>
      </w:r>
      <w:r>
        <w:t>) which was delivered under these assumptions</w:t>
      </w:r>
    </w:p>
    <w:p w:rsidR="003132CB" w:rsidRDefault="003132CB" w:rsidP="00B86721">
      <w:pPr>
        <w:pStyle w:val="NumberedPara"/>
        <w:numPr>
          <w:ilvl w:val="0"/>
          <w:numId w:val="10"/>
        </w:numPr>
      </w:pPr>
      <w:r>
        <w:t>Guarantee the well-being and productivity of the people;</w:t>
      </w:r>
    </w:p>
    <w:p w:rsidR="003132CB" w:rsidRDefault="003132CB" w:rsidP="00B86721">
      <w:pPr>
        <w:pStyle w:val="NumberedPara"/>
        <w:numPr>
          <w:ilvl w:val="0"/>
          <w:numId w:val="10"/>
        </w:numPr>
      </w:pPr>
      <w:r>
        <w:t>Optimise the key sources of economic growth;</w:t>
      </w:r>
    </w:p>
    <w:p w:rsidR="003132CB" w:rsidRDefault="003132CB" w:rsidP="00B86721">
      <w:pPr>
        <w:pStyle w:val="NumberedPara"/>
        <w:numPr>
          <w:ilvl w:val="0"/>
          <w:numId w:val="10"/>
        </w:numPr>
      </w:pPr>
      <w:r>
        <w:t>Foster social and economic development;</w:t>
      </w:r>
    </w:p>
    <w:p w:rsidR="003132CB" w:rsidRDefault="003132CB" w:rsidP="00B86721">
      <w:pPr>
        <w:pStyle w:val="NumberedPara"/>
        <w:numPr>
          <w:ilvl w:val="0"/>
          <w:numId w:val="10"/>
        </w:numPr>
      </w:pPr>
      <w:r>
        <w:t>Build a productive, competitive and functional human resource</w:t>
      </w:r>
      <w:r w:rsidR="007D080E">
        <w:t>;</w:t>
      </w:r>
    </w:p>
    <w:p w:rsidR="003132CB" w:rsidRDefault="003132CB" w:rsidP="00B86721">
      <w:pPr>
        <w:pStyle w:val="NumberedPara"/>
        <w:numPr>
          <w:ilvl w:val="0"/>
          <w:numId w:val="10"/>
        </w:numPr>
      </w:pPr>
      <w:r>
        <w:t>Broa</w:t>
      </w:r>
      <w:r w:rsidR="009E33E2">
        <w:t>den the infrastructural gap for economic growth and wealth creation;</w:t>
      </w:r>
    </w:p>
    <w:p w:rsidR="00191F15" w:rsidRDefault="00191F15" w:rsidP="00B86721">
      <w:pPr>
        <w:pStyle w:val="NumberedPara"/>
        <w:numPr>
          <w:ilvl w:val="0"/>
          <w:numId w:val="10"/>
        </w:numPr>
      </w:pPr>
      <w:r w:rsidRPr="00191F15">
        <w:t>Delivering better public services within tight financial constraints</w:t>
      </w:r>
      <w:r>
        <w:t>;</w:t>
      </w:r>
    </w:p>
    <w:p w:rsidR="009E33E2" w:rsidRPr="002B6908" w:rsidRDefault="009E33E2" w:rsidP="00B86721">
      <w:pPr>
        <w:pStyle w:val="NumberedPara"/>
        <w:numPr>
          <w:ilvl w:val="0"/>
          <w:numId w:val="10"/>
        </w:numPr>
      </w:pPr>
      <w:r>
        <w:t xml:space="preserve">Improve governance, security, </w:t>
      </w:r>
      <w:r w:rsidR="00535A29">
        <w:t>law and order, engaging in more efficient and effective use of resources,</w:t>
      </w:r>
      <w:r>
        <w:t xml:space="preserve"> and providing social harmony.</w:t>
      </w:r>
    </w:p>
    <w:p w:rsidR="00A76322" w:rsidRDefault="00A76322" w:rsidP="00A76322">
      <w:pPr>
        <w:pStyle w:val="Heading2"/>
      </w:pPr>
      <w:bookmarkStart w:id="93" w:name="_Toc454798315"/>
      <w:bookmarkStart w:id="94" w:name="_Toc79827024"/>
      <w:r>
        <w:t>Sector Allocations (3 Year)</w:t>
      </w:r>
      <w:bookmarkEnd w:id="93"/>
      <w:bookmarkEnd w:id="94"/>
    </w:p>
    <w:p w:rsidR="00A76322" w:rsidRPr="00A20A14" w:rsidRDefault="00D17C85" w:rsidP="00A76322">
      <w:pPr>
        <w:pStyle w:val="StyleCaptionCentered"/>
        <w:rPr>
          <w:rFonts w:ascii="Arial Black" w:hAnsi="Arial Black"/>
        </w:rPr>
      </w:pPr>
      <w:bookmarkStart w:id="95" w:name="_Toc79828567"/>
      <w:r w:rsidRPr="00A20A14">
        <w:rPr>
          <w:rFonts w:ascii="Arial Black" w:hAnsi="Arial Black"/>
        </w:rPr>
        <w:t>Figure</w:t>
      </w:r>
      <w:r w:rsidR="00DF033A" w:rsidRPr="00A20A14">
        <w:rPr>
          <w:rFonts w:ascii="Arial Black" w:hAnsi="Arial Black"/>
        </w:rPr>
        <w:fldChar w:fldCharType="begin"/>
      </w:r>
      <w:r w:rsidRPr="00A20A14">
        <w:rPr>
          <w:rFonts w:ascii="Arial Black" w:hAnsi="Arial Black"/>
        </w:rPr>
        <w:instrText xml:space="preserve"> SEQ Figure \* ARABIC </w:instrText>
      </w:r>
      <w:r w:rsidR="00DF033A" w:rsidRPr="00A20A14">
        <w:rPr>
          <w:rFonts w:ascii="Arial Black" w:hAnsi="Arial Black"/>
        </w:rPr>
        <w:fldChar w:fldCharType="separate"/>
      </w:r>
      <w:r w:rsidR="007A24D6" w:rsidRPr="00A20A14">
        <w:rPr>
          <w:rFonts w:ascii="Arial Black" w:hAnsi="Arial Black"/>
          <w:noProof/>
        </w:rPr>
        <w:t>17</w:t>
      </w:r>
      <w:r w:rsidR="00DF033A" w:rsidRPr="00A20A14">
        <w:rPr>
          <w:rFonts w:ascii="Arial Black" w:hAnsi="Arial Black"/>
        </w:rPr>
        <w:fldChar w:fldCharType="end"/>
      </w:r>
      <w:r w:rsidRPr="00A20A14">
        <w:rPr>
          <w:rFonts w:ascii="Arial Black" w:hAnsi="Arial Black"/>
        </w:rPr>
        <w:t>:</w:t>
      </w:r>
      <w:r w:rsidR="00A76322" w:rsidRPr="00A20A14">
        <w:rPr>
          <w:rFonts w:ascii="Arial Black" w:hAnsi="Arial Black"/>
        </w:rPr>
        <w:t xml:space="preserve"> Capital Expe</w:t>
      </w:r>
      <w:r w:rsidR="008D7A72" w:rsidRPr="00A20A14">
        <w:rPr>
          <w:rFonts w:ascii="Arial Black" w:hAnsi="Arial Black"/>
        </w:rPr>
        <w:t>nditure by Sector (proposed 2022-2024</w:t>
      </w:r>
      <w:r w:rsidR="00A76322" w:rsidRPr="00A20A14">
        <w:rPr>
          <w:rFonts w:ascii="Arial Black" w:hAnsi="Arial Black"/>
        </w:rPr>
        <w:t>)</w:t>
      </w:r>
      <w:bookmarkEnd w:id="95"/>
    </w:p>
    <w:p w:rsidR="00A76322" w:rsidRDefault="00A76322" w:rsidP="001D6B67">
      <w:pPr>
        <w:pStyle w:val="NumberedPara"/>
        <w:tabs>
          <w:tab w:val="clear" w:pos="1287"/>
          <w:tab w:val="num" w:pos="540"/>
        </w:tabs>
        <w:ind w:left="540" w:hanging="540"/>
      </w:pPr>
      <w:r>
        <w:t xml:space="preserve">Presented in the </w:t>
      </w:r>
      <w:r w:rsidR="00D451AA">
        <w:t xml:space="preserve">charts and </w:t>
      </w:r>
      <w:r>
        <w:t>table</w:t>
      </w:r>
      <w:r w:rsidR="00D451AA">
        <w:t>s</w:t>
      </w:r>
      <w:r>
        <w:t xml:space="preserve"> below are the indicative three envelopes for sectors and sub-sectors.  </w:t>
      </w:r>
    </w:p>
    <w:p w:rsidR="00D451AA" w:rsidRDefault="00D451AA" w:rsidP="00A76322">
      <w:pPr>
        <w:pStyle w:val="StyleCaptionCentered"/>
      </w:pPr>
    </w:p>
    <w:p w:rsidR="00FA1D1A" w:rsidRDefault="00FA1D1A" w:rsidP="00A76322">
      <w:pPr>
        <w:pStyle w:val="StyleCaptionCentered"/>
      </w:pPr>
    </w:p>
    <w:p w:rsidR="00A76322" w:rsidRDefault="00A76322" w:rsidP="00A76322">
      <w:pPr>
        <w:pStyle w:val="StyleCaptionCentered"/>
        <w:sectPr w:rsidR="00A76322" w:rsidSect="002E525D">
          <w:pgSz w:w="11906" w:h="16838" w:code="9"/>
          <w:pgMar w:top="1440" w:right="1797" w:bottom="1440" w:left="900" w:header="709" w:footer="709" w:gutter="0"/>
          <w:cols w:space="708"/>
          <w:docGrid w:linePitch="360"/>
        </w:sectPr>
      </w:pPr>
    </w:p>
    <w:p w:rsidR="00A76322" w:rsidRDefault="00A76322" w:rsidP="00A76322">
      <w:pPr>
        <w:pStyle w:val="StyleCaptionCentered"/>
        <w:rPr>
          <w:noProof/>
          <w:lang w:val="en-US" w:eastAsia="en-US"/>
        </w:rPr>
      </w:pPr>
      <w:r>
        <w:lastRenderedPageBreak/>
        <w:t xml:space="preserve">Indicative </w:t>
      </w:r>
      <w:r w:rsidR="005D15E1">
        <w:t>Sector Expendit</w:t>
      </w:r>
      <w:r w:rsidR="000617E7">
        <w:t>ure Ceilings 2022 -2024</w:t>
      </w:r>
      <w:r w:rsidR="007264F0">
        <w:t xml:space="preserve"> </w:t>
      </w:r>
    </w:p>
    <w:p w:rsidR="00711245" w:rsidRDefault="000617E7" w:rsidP="00A76322">
      <w:pPr>
        <w:pStyle w:val="StyleCaptionCentered"/>
      </w:pPr>
      <w:r w:rsidRPr="000617E7">
        <w:rPr>
          <w:noProof/>
          <w:lang w:val="en-US" w:eastAsia="en-US"/>
        </w:rPr>
        <w:drawing>
          <wp:inline distT="0" distB="0" distL="0" distR="0">
            <wp:extent cx="8863330" cy="113170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63330" cy="1131701"/>
                    </a:xfrm>
                    <a:prstGeom prst="rect">
                      <a:avLst/>
                    </a:prstGeom>
                    <a:noFill/>
                    <a:ln>
                      <a:noFill/>
                    </a:ln>
                  </pic:spPr>
                </pic:pic>
              </a:graphicData>
            </a:graphic>
          </wp:inline>
        </w:drawing>
      </w:r>
    </w:p>
    <w:p w:rsidR="00257CF7" w:rsidRDefault="00380796" w:rsidP="00A76322">
      <w:pPr>
        <w:pStyle w:val="StyleCaptionCentered"/>
      </w:pPr>
      <w:r>
        <w:t xml:space="preserve">Indicative </w:t>
      </w:r>
      <w:r w:rsidR="003541B6">
        <w:t>Sect</w:t>
      </w:r>
      <w:r w:rsidR="0018190D">
        <w:t xml:space="preserve">or Expenditure Ceilings </w:t>
      </w:r>
      <w:r w:rsidR="000617E7">
        <w:t>2022 -2024</w:t>
      </w:r>
    </w:p>
    <w:p w:rsidR="00257CF7" w:rsidRDefault="000617E7" w:rsidP="00A76322">
      <w:pPr>
        <w:pStyle w:val="StyleCaptionCentered"/>
      </w:pPr>
      <w:r w:rsidRPr="000617E7">
        <w:rPr>
          <w:noProof/>
          <w:lang w:val="en-US" w:eastAsia="en-US"/>
        </w:rPr>
        <w:drawing>
          <wp:inline distT="0" distB="0" distL="0" distR="0">
            <wp:extent cx="8863330" cy="113170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63330" cy="1131701"/>
                    </a:xfrm>
                    <a:prstGeom prst="rect">
                      <a:avLst/>
                    </a:prstGeom>
                    <a:noFill/>
                    <a:ln>
                      <a:noFill/>
                    </a:ln>
                  </pic:spPr>
                </pic:pic>
              </a:graphicData>
            </a:graphic>
          </wp:inline>
        </w:drawing>
      </w:r>
    </w:p>
    <w:p w:rsidR="00257CF7" w:rsidRDefault="00FA6800" w:rsidP="00A76322">
      <w:pPr>
        <w:pStyle w:val="StyleCaptionCentered"/>
      </w:pPr>
      <w:r>
        <w:t xml:space="preserve">Indicative </w:t>
      </w:r>
      <w:r w:rsidR="0018190D">
        <w:t xml:space="preserve">Sector Expenditure Ceilings </w:t>
      </w:r>
      <w:r w:rsidR="000617E7">
        <w:t>2022 -2024</w:t>
      </w:r>
    </w:p>
    <w:p w:rsidR="007264F0" w:rsidRDefault="000617E7" w:rsidP="00A76322">
      <w:pPr>
        <w:pStyle w:val="StyleCaptionCentered"/>
      </w:pPr>
      <w:r w:rsidRPr="000617E7">
        <w:rPr>
          <w:noProof/>
          <w:lang w:val="en-US" w:eastAsia="en-US"/>
        </w:rPr>
        <w:drawing>
          <wp:inline distT="0" distB="0" distL="0" distR="0">
            <wp:extent cx="8863330" cy="11317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63330" cy="1131701"/>
                    </a:xfrm>
                    <a:prstGeom prst="rect">
                      <a:avLst/>
                    </a:prstGeom>
                    <a:noFill/>
                    <a:ln>
                      <a:noFill/>
                    </a:ln>
                  </pic:spPr>
                </pic:pic>
              </a:graphicData>
            </a:graphic>
          </wp:inline>
        </w:drawing>
      </w:r>
    </w:p>
    <w:p w:rsidR="00EE6497" w:rsidRPr="005D15E1" w:rsidRDefault="00EE6497" w:rsidP="00A76322">
      <w:pPr>
        <w:pStyle w:val="StyleCaptionCentered"/>
      </w:pPr>
    </w:p>
    <w:p w:rsidR="00835446" w:rsidRDefault="00835446" w:rsidP="00A76322">
      <w:pPr>
        <w:pStyle w:val="StyleCaptionCentered"/>
      </w:pPr>
    </w:p>
    <w:p w:rsidR="00A871B4" w:rsidRDefault="00A871B4" w:rsidP="00FA6800">
      <w:pPr>
        <w:pStyle w:val="StyleCaptionCentered"/>
        <w:sectPr w:rsidR="00A871B4" w:rsidSect="00A76322">
          <w:pgSz w:w="16838" w:h="11906" w:orient="landscape" w:code="9"/>
          <w:pgMar w:top="1258" w:right="1440" w:bottom="1438" w:left="1440" w:header="709" w:footer="709" w:gutter="0"/>
          <w:cols w:space="708"/>
          <w:docGrid w:linePitch="360"/>
        </w:sectPr>
      </w:pPr>
    </w:p>
    <w:p w:rsidR="00A34A5D" w:rsidRDefault="00A34A5D">
      <w:pPr>
        <w:spacing w:before="0" w:after="0"/>
        <w:rPr>
          <w:rFonts w:cs="Arial"/>
          <w:b/>
          <w:bCs/>
          <w:iCs/>
          <w:color w:val="9CC2E5"/>
          <w:sz w:val="32"/>
          <w:szCs w:val="28"/>
        </w:rPr>
      </w:pPr>
      <w:bookmarkStart w:id="96" w:name="_Toc79827025"/>
      <w:bookmarkStart w:id="97" w:name="_Toc518042164"/>
      <w:bookmarkStart w:id="98" w:name="_Toc454798316"/>
      <w:r w:rsidRPr="00A34A5D">
        <w:rPr>
          <w:noProof/>
          <w:lang w:val="en-US" w:eastAsia="en-US"/>
        </w:rPr>
        <w:lastRenderedPageBreak/>
        <w:drawing>
          <wp:anchor distT="0" distB="0" distL="114300" distR="114300" simplePos="0" relativeHeight="251666432" behindDoc="0" locked="0" layoutInCell="1" allowOverlap="1">
            <wp:simplePos x="0" y="0"/>
            <wp:positionH relativeFrom="margin">
              <wp:align>right</wp:align>
            </wp:positionH>
            <wp:positionV relativeFrom="paragraph">
              <wp:posOffset>80010</wp:posOffset>
            </wp:positionV>
            <wp:extent cx="6219825" cy="4732655"/>
            <wp:effectExtent l="0" t="0" r="9525" b="0"/>
            <wp:wrapThrough wrapText="bothSides">
              <wp:wrapPolygon edited="0">
                <wp:start x="0" y="0"/>
                <wp:lineTo x="0" y="21475"/>
                <wp:lineTo x="21567" y="21475"/>
                <wp:lineTo x="21567"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19825" cy="4732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778D">
        <w:t xml:space="preserve"> </w:t>
      </w:r>
      <w:r w:rsidR="003F0081">
        <w:br w:type="page"/>
      </w:r>
      <w:bookmarkEnd w:id="96"/>
    </w:p>
    <w:p w:rsidR="00A34A5D" w:rsidRDefault="00A34A5D">
      <w:pPr>
        <w:spacing w:before="0" w:after="0"/>
        <w:rPr>
          <w:rFonts w:cs="Arial"/>
          <w:b/>
          <w:bCs/>
          <w:iCs/>
          <w:color w:val="9CC2E5"/>
          <w:sz w:val="32"/>
          <w:szCs w:val="28"/>
        </w:rPr>
      </w:pPr>
      <w:r w:rsidRPr="00A34A5D">
        <w:rPr>
          <w:noProof/>
          <w:lang w:val="en-US" w:eastAsia="en-US"/>
        </w:rPr>
        <w:lastRenderedPageBreak/>
        <w:drawing>
          <wp:anchor distT="0" distB="0" distL="114300" distR="114300" simplePos="0" relativeHeight="251667456" behindDoc="0" locked="0" layoutInCell="1" allowOverlap="1">
            <wp:simplePos x="0" y="0"/>
            <wp:positionH relativeFrom="margin">
              <wp:align>left</wp:align>
            </wp:positionH>
            <wp:positionV relativeFrom="margin">
              <wp:align>top</wp:align>
            </wp:positionV>
            <wp:extent cx="6380480" cy="8216900"/>
            <wp:effectExtent l="0" t="0" r="127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80480" cy="8216900"/>
                    </a:xfrm>
                    <a:prstGeom prst="rect">
                      <a:avLst/>
                    </a:prstGeom>
                    <a:noFill/>
                    <a:ln>
                      <a:noFill/>
                    </a:ln>
                  </pic:spPr>
                </pic:pic>
              </a:graphicData>
            </a:graphic>
            <wp14:sizeRelH relativeFrom="margin">
              <wp14:pctWidth>0</wp14:pctWidth>
            </wp14:sizeRelH>
          </wp:anchor>
        </w:drawing>
      </w:r>
      <w:r>
        <w:br w:type="page"/>
      </w:r>
    </w:p>
    <w:p w:rsidR="00C8060B" w:rsidRDefault="00C8060B" w:rsidP="00A34A5D">
      <w:pPr>
        <w:pStyle w:val="Heading2"/>
        <w:numPr>
          <w:ilvl w:val="0"/>
          <w:numId w:val="0"/>
        </w:numPr>
        <w:ind w:left="-90"/>
      </w:pPr>
    </w:p>
    <w:p w:rsidR="00F02511" w:rsidRDefault="002F64A6">
      <w:pPr>
        <w:spacing w:before="0" w:after="0"/>
        <w:rPr>
          <w:rFonts w:cs="Arial"/>
          <w:b/>
          <w:bCs/>
          <w:iCs/>
          <w:noProof/>
          <w:color w:val="9CC2E5"/>
          <w:sz w:val="32"/>
          <w:szCs w:val="28"/>
          <w:lang w:val="en-US" w:eastAsia="en-US"/>
        </w:rPr>
      </w:pPr>
      <w:r w:rsidRPr="002F64A6">
        <w:rPr>
          <w:noProof/>
          <w:lang w:val="en-US" w:eastAsia="en-US"/>
        </w:rPr>
        <w:drawing>
          <wp:inline distT="0" distB="0" distL="0" distR="0">
            <wp:extent cx="6420897" cy="7784465"/>
            <wp:effectExtent l="0" t="0" r="0"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26721" cy="7791526"/>
                    </a:xfrm>
                    <a:prstGeom prst="rect">
                      <a:avLst/>
                    </a:prstGeom>
                    <a:noFill/>
                    <a:ln>
                      <a:noFill/>
                    </a:ln>
                  </pic:spPr>
                </pic:pic>
              </a:graphicData>
            </a:graphic>
          </wp:inline>
        </w:drawing>
      </w:r>
      <w:r w:rsidR="00F02511">
        <w:rPr>
          <w:noProof/>
          <w:lang w:val="en-US" w:eastAsia="en-US"/>
        </w:rPr>
        <w:br w:type="page"/>
      </w:r>
    </w:p>
    <w:p w:rsidR="00F02511" w:rsidRDefault="002F64A6">
      <w:pPr>
        <w:spacing w:before="0" w:after="0"/>
        <w:rPr>
          <w:noProof/>
          <w:lang w:val="en-US" w:eastAsia="en-US"/>
        </w:rPr>
      </w:pPr>
      <w:r w:rsidRPr="002F64A6">
        <w:rPr>
          <w:noProof/>
          <w:lang w:val="en-US" w:eastAsia="en-US"/>
        </w:rPr>
        <w:lastRenderedPageBreak/>
        <w:drawing>
          <wp:inline distT="0" distB="0" distL="0" distR="0">
            <wp:extent cx="6461090" cy="8664575"/>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64301" cy="8668881"/>
                    </a:xfrm>
                    <a:prstGeom prst="rect">
                      <a:avLst/>
                    </a:prstGeom>
                    <a:noFill/>
                    <a:ln>
                      <a:noFill/>
                    </a:ln>
                  </pic:spPr>
                </pic:pic>
              </a:graphicData>
            </a:graphic>
          </wp:inline>
        </w:drawing>
      </w:r>
      <w:r w:rsidR="00F02511">
        <w:rPr>
          <w:noProof/>
          <w:lang w:val="en-US" w:eastAsia="en-US"/>
        </w:rPr>
        <w:br w:type="page"/>
      </w:r>
    </w:p>
    <w:p w:rsidR="00F02511" w:rsidRDefault="002F64A6">
      <w:pPr>
        <w:spacing w:before="0" w:after="0"/>
        <w:rPr>
          <w:rFonts w:cs="Arial"/>
          <w:b/>
          <w:bCs/>
          <w:iCs/>
          <w:noProof/>
          <w:color w:val="9CC2E5"/>
          <w:sz w:val="32"/>
          <w:szCs w:val="28"/>
          <w:lang w:val="en-US" w:eastAsia="en-US"/>
        </w:rPr>
      </w:pPr>
      <w:r w:rsidRPr="002F64A6">
        <w:rPr>
          <w:noProof/>
          <w:lang w:val="en-US" w:eastAsia="en-US"/>
        </w:rPr>
        <w:lastRenderedPageBreak/>
        <w:drawing>
          <wp:anchor distT="0" distB="0" distL="114300" distR="114300" simplePos="0" relativeHeight="251668480" behindDoc="0" locked="0" layoutInCell="1" allowOverlap="1">
            <wp:simplePos x="0" y="0"/>
            <wp:positionH relativeFrom="margin">
              <wp:align>right</wp:align>
            </wp:positionH>
            <wp:positionV relativeFrom="paragraph">
              <wp:posOffset>3717290</wp:posOffset>
            </wp:positionV>
            <wp:extent cx="6172200" cy="4732655"/>
            <wp:effectExtent l="0" t="0" r="0" b="0"/>
            <wp:wrapThrough wrapText="bothSides">
              <wp:wrapPolygon edited="0">
                <wp:start x="0" y="0"/>
                <wp:lineTo x="0" y="21475"/>
                <wp:lineTo x="21533" y="21475"/>
                <wp:lineTo x="21533"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72200" cy="4732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64A6">
        <w:rPr>
          <w:noProof/>
          <w:lang w:val="en-US" w:eastAsia="en-US"/>
        </w:rPr>
        <w:drawing>
          <wp:inline distT="0" distB="0" distL="0" distR="0">
            <wp:extent cx="6172200" cy="3672408"/>
            <wp:effectExtent l="0" t="0" r="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72200" cy="3672408"/>
                    </a:xfrm>
                    <a:prstGeom prst="rect">
                      <a:avLst/>
                    </a:prstGeom>
                    <a:noFill/>
                    <a:ln>
                      <a:noFill/>
                    </a:ln>
                  </pic:spPr>
                </pic:pic>
              </a:graphicData>
            </a:graphic>
          </wp:inline>
        </w:drawing>
      </w:r>
      <w:r w:rsidR="00F02511">
        <w:rPr>
          <w:noProof/>
          <w:lang w:val="en-US" w:eastAsia="en-US"/>
        </w:rPr>
        <w:br w:type="page"/>
      </w:r>
    </w:p>
    <w:p w:rsidR="00057405" w:rsidRPr="00D727A3" w:rsidRDefault="002F64A6" w:rsidP="00D727A3">
      <w:r w:rsidRPr="002F64A6">
        <w:rPr>
          <w:noProof/>
          <w:lang w:val="en-US" w:eastAsia="en-US"/>
        </w:rPr>
        <w:lastRenderedPageBreak/>
        <w:drawing>
          <wp:inline distT="0" distB="0" distL="0" distR="0">
            <wp:extent cx="6501284" cy="84404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06758" cy="8447527"/>
                    </a:xfrm>
                    <a:prstGeom prst="rect">
                      <a:avLst/>
                    </a:prstGeom>
                    <a:noFill/>
                    <a:ln>
                      <a:noFill/>
                    </a:ln>
                  </pic:spPr>
                </pic:pic>
              </a:graphicData>
            </a:graphic>
          </wp:inline>
        </w:drawing>
      </w:r>
    </w:p>
    <w:p w:rsidR="003C741A" w:rsidRDefault="003C741A">
      <w:pPr>
        <w:spacing w:before="0" w:after="0"/>
        <w:rPr>
          <w:noProof/>
          <w:lang w:val="en-US" w:eastAsia="en-US"/>
        </w:rPr>
      </w:pPr>
      <w:r>
        <w:rPr>
          <w:noProof/>
          <w:lang w:val="en-US" w:eastAsia="en-US"/>
        </w:rPr>
        <w:br w:type="page"/>
      </w:r>
    </w:p>
    <w:p w:rsidR="003C741A" w:rsidRDefault="002F64A6">
      <w:pPr>
        <w:spacing w:before="0" w:after="0"/>
      </w:pPr>
      <w:r w:rsidRPr="002F64A6">
        <w:rPr>
          <w:noProof/>
          <w:lang w:val="en-US" w:eastAsia="en-US"/>
        </w:rPr>
        <w:lastRenderedPageBreak/>
        <w:drawing>
          <wp:inline distT="0" distB="0" distL="0" distR="0">
            <wp:extent cx="6440993" cy="94202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44172" cy="9424875"/>
                    </a:xfrm>
                    <a:prstGeom prst="rect">
                      <a:avLst/>
                    </a:prstGeom>
                    <a:noFill/>
                    <a:ln>
                      <a:noFill/>
                    </a:ln>
                  </pic:spPr>
                </pic:pic>
              </a:graphicData>
            </a:graphic>
          </wp:inline>
        </w:drawing>
      </w:r>
      <w:r w:rsidR="003C741A">
        <w:br w:type="page"/>
      </w:r>
    </w:p>
    <w:p w:rsidR="00D727A3" w:rsidRDefault="002F64A6" w:rsidP="006B053F">
      <w:r w:rsidRPr="002F64A6">
        <w:rPr>
          <w:noProof/>
          <w:lang w:val="en-US" w:eastAsia="en-US"/>
        </w:rPr>
        <w:lastRenderedPageBreak/>
        <w:drawing>
          <wp:inline distT="0" distB="0" distL="0" distR="0">
            <wp:extent cx="6420897" cy="8664575"/>
            <wp:effectExtent l="0" t="0" r="0"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24571" cy="8669533"/>
                    </a:xfrm>
                    <a:prstGeom prst="rect">
                      <a:avLst/>
                    </a:prstGeom>
                    <a:noFill/>
                    <a:ln>
                      <a:noFill/>
                    </a:ln>
                  </pic:spPr>
                </pic:pic>
              </a:graphicData>
            </a:graphic>
          </wp:inline>
        </w:drawing>
      </w:r>
    </w:p>
    <w:p w:rsidR="00D727A3" w:rsidRPr="006B053F" w:rsidRDefault="002F64A6" w:rsidP="00765E1F">
      <w:pPr>
        <w:pStyle w:val="NumberedPara"/>
        <w:numPr>
          <w:ilvl w:val="0"/>
          <w:numId w:val="0"/>
        </w:numPr>
        <w:ind w:left="720"/>
        <w:rPr>
          <w:rFonts w:cs="Arial"/>
          <w:color w:val="9CC2E5"/>
          <w:sz w:val="32"/>
          <w:szCs w:val="28"/>
        </w:rPr>
      </w:pPr>
      <w:r w:rsidRPr="002F64A6">
        <w:rPr>
          <w:noProof/>
          <w:lang w:val="en-US" w:eastAsia="en-US"/>
        </w:rPr>
        <w:lastRenderedPageBreak/>
        <w:drawing>
          <wp:anchor distT="0" distB="0" distL="114300" distR="114300" simplePos="0" relativeHeight="251670528" behindDoc="0" locked="0" layoutInCell="1" allowOverlap="1">
            <wp:simplePos x="0" y="0"/>
            <wp:positionH relativeFrom="margin">
              <wp:posOffset>443230</wp:posOffset>
            </wp:positionH>
            <wp:positionV relativeFrom="paragraph">
              <wp:posOffset>4079240</wp:posOffset>
            </wp:positionV>
            <wp:extent cx="5727065" cy="4641850"/>
            <wp:effectExtent l="0" t="0" r="6985" b="6350"/>
            <wp:wrapThrough wrapText="bothSides">
              <wp:wrapPolygon edited="0">
                <wp:start x="0" y="0"/>
                <wp:lineTo x="0" y="21541"/>
                <wp:lineTo x="21554" y="21541"/>
                <wp:lineTo x="21554" y="0"/>
                <wp:lineTo x="0"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27065" cy="464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64A6">
        <w:rPr>
          <w:noProof/>
          <w:lang w:val="en-US" w:eastAsia="en-US"/>
        </w:rPr>
        <w:drawing>
          <wp:anchor distT="0" distB="0" distL="114300" distR="114300" simplePos="0" relativeHeight="251669504" behindDoc="0" locked="0" layoutInCell="1" allowOverlap="1">
            <wp:simplePos x="0" y="0"/>
            <wp:positionH relativeFrom="page">
              <wp:posOffset>612775</wp:posOffset>
            </wp:positionH>
            <wp:positionV relativeFrom="paragraph">
              <wp:posOffset>0</wp:posOffset>
            </wp:positionV>
            <wp:extent cx="6320155" cy="4027170"/>
            <wp:effectExtent l="0" t="0" r="4445" b="0"/>
            <wp:wrapThrough wrapText="bothSides">
              <wp:wrapPolygon edited="0">
                <wp:start x="5599" y="0"/>
                <wp:lineTo x="65" y="102"/>
                <wp:lineTo x="0" y="1635"/>
                <wp:lineTo x="0" y="11035"/>
                <wp:lineTo x="1563" y="11444"/>
                <wp:lineTo x="0" y="11750"/>
                <wp:lineTo x="0" y="21457"/>
                <wp:lineTo x="21550" y="21457"/>
                <wp:lineTo x="21550" y="0"/>
                <wp:lineTo x="5599"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20155" cy="4027170"/>
                    </a:xfrm>
                    <a:prstGeom prst="rect">
                      <a:avLst/>
                    </a:prstGeom>
                    <a:noFill/>
                    <a:ln>
                      <a:noFill/>
                    </a:ln>
                  </pic:spPr>
                </pic:pic>
              </a:graphicData>
            </a:graphic>
            <wp14:sizeRelH relativeFrom="margin">
              <wp14:pctWidth>0</wp14:pctWidth>
            </wp14:sizeRelH>
          </wp:anchor>
        </w:drawing>
      </w:r>
      <w:r w:rsidR="00D727A3">
        <w:br w:type="page"/>
      </w:r>
    </w:p>
    <w:p w:rsidR="00D727A3" w:rsidRDefault="00706673">
      <w:pPr>
        <w:spacing w:before="0" w:after="0"/>
        <w:rPr>
          <w:rFonts w:cs="Arial"/>
          <w:b/>
          <w:bCs/>
          <w:iCs/>
          <w:color w:val="9CC2E5"/>
          <w:sz w:val="32"/>
          <w:szCs w:val="28"/>
        </w:rPr>
      </w:pPr>
      <w:r w:rsidRPr="00706673">
        <w:rPr>
          <w:noProof/>
          <w:lang w:val="en-US" w:eastAsia="en-US"/>
        </w:rPr>
        <w:lastRenderedPageBreak/>
        <w:drawing>
          <wp:inline distT="0" distB="0" distL="0" distR="0">
            <wp:extent cx="6410848" cy="9026525"/>
            <wp:effectExtent l="0" t="0" r="9525"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16130" cy="9033963"/>
                    </a:xfrm>
                    <a:prstGeom prst="rect">
                      <a:avLst/>
                    </a:prstGeom>
                    <a:noFill/>
                    <a:ln>
                      <a:noFill/>
                    </a:ln>
                  </pic:spPr>
                </pic:pic>
              </a:graphicData>
            </a:graphic>
          </wp:inline>
        </w:drawing>
      </w:r>
      <w:r w:rsidR="00D727A3">
        <w:br w:type="page"/>
      </w:r>
    </w:p>
    <w:bookmarkEnd w:id="97"/>
    <w:p w:rsidR="00A46903" w:rsidRDefault="00706673" w:rsidP="000011D4">
      <w:pPr>
        <w:pStyle w:val="Heading2"/>
        <w:numPr>
          <w:ilvl w:val="0"/>
          <w:numId w:val="0"/>
        </w:numPr>
        <w:ind w:left="-90"/>
      </w:pPr>
      <w:r w:rsidRPr="00706673">
        <w:rPr>
          <w:noProof/>
          <w:lang w:val="en-US" w:eastAsia="en-US"/>
        </w:rPr>
        <w:lastRenderedPageBreak/>
        <w:drawing>
          <wp:inline distT="0" distB="0" distL="0" distR="0">
            <wp:extent cx="6430645" cy="7033846"/>
            <wp:effectExtent l="0" t="0" r="825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40083" cy="7044169"/>
                    </a:xfrm>
                    <a:prstGeom prst="rect">
                      <a:avLst/>
                    </a:prstGeom>
                    <a:noFill/>
                    <a:ln>
                      <a:noFill/>
                    </a:ln>
                  </pic:spPr>
                </pic:pic>
              </a:graphicData>
            </a:graphic>
          </wp:inline>
        </w:drawing>
      </w:r>
      <w:r w:rsidR="003F0081">
        <w:br w:type="page"/>
      </w:r>
    </w:p>
    <w:p w:rsidR="0050717F" w:rsidRDefault="00706673" w:rsidP="0063687B">
      <w:pPr>
        <w:pStyle w:val="Heading2"/>
        <w:numPr>
          <w:ilvl w:val="0"/>
          <w:numId w:val="0"/>
        </w:numPr>
        <w:jc w:val="both"/>
      </w:pPr>
      <w:r w:rsidRPr="00706673">
        <w:rPr>
          <w:noProof/>
          <w:lang w:val="en-US" w:eastAsia="en-US"/>
        </w:rPr>
        <w:lastRenderedPageBreak/>
        <w:drawing>
          <wp:inline distT="0" distB="0" distL="0" distR="0">
            <wp:extent cx="6360607" cy="8129905"/>
            <wp:effectExtent l="0" t="0" r="2540"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62846" cy="8132767"/>
                    </a:xfrm>
                    <a:prstGeom prst="rect">
                      <a:avLst/>
                    </a:prstGeom>
                    <a:noFill/>
                    <a:ln>
                      <a:noFill/>
                    </a:ln>
                  </pic:spPr>
                </pic:pic>
              </a:graphicData>
            </a:graphic>
          </wp:inline>
        </w:drawing>
      </w:r>
    </w:p>
    <w:p w:rsidR="0050717F" w:rsidRPr="0050717F" w:rsidRDefault="0050717F" w:rsidP="0050717F"/>
    <w:p w:rsidR="0050717F" w:rsidRDefault="0050717F">
      <w:pPr>
        <w:spacing w:before="0" w:after="0"/>
        <w:rPr>
          <w:rFonts w:cs="Arial"/>
          <w:b/>
          <w:bCs/>
          <w:iCs/>
          <w:color w:val="9CC2E5"/>
          <w:sz w:val="32"/>
          <w:szCs w:val="28"/>
        </w:rPr>
      </w:pPr>
      <w:r>
        <w:br w:type="page"/>
      </w:r>
    </w:p>
    <w:p w:rsidR="00A76322" w:rsidRDefault="00A46067" w:rsidP="0063687B">
      <w:pPr>
        <w:pStyle w:val="Heading2"/>
        <w:numPr>
          <w:ilvl w:val="0"/>
          <w:numId w:val="0"/>
        </w:numPr>
        <w:jc w:val="both"/>
      </w:pPr>
      <w:bookmarkStart w:id="99" w:name="_Toc79827028"/>
      <w:r>
        <w:lastRenderedPageBreak/>
        <w:t xml:space="preserve">4.C </w:t>
      </w:r>
      <w:r w:rsidR="00A76322">
        <w:t xml:space="preserve">Considerations for the </w:t>
      </w:r>
      <w:r w:rsidR="008D7A72">
        <w:t>Planning and</w:t>
      </w:r>
      <w:r w:rsidR="008B1850">
        <w:t xml:space="preserve"> </w:t>
      </w:r>
      <w:r w:rsidR="00A76322">
        <w:t>Annual Budget Process</w:t>
      </w:r>
      <w:bookmarkEnd w:id="98"/>
      <w:bookmarkEnd w:id="99"/>
    </w:p>
    <w:p w:rsidR="00EB4621" w:rsidRDefault="00EB4621" w:rsidP="0063687B">
      <w:pPr>
        <w:pStyle w:val="NumberedPara"/>
        <w:tabs>
          <w:tab w:val="clear" w:pos="1287"/>
          <w:tab w:val="num" w:pos="720"/>
        </w:tabs>
        <w:ind w:left="720" w:hanging="720"/>
      </w:pPr>
      <w:r>
        <w:t>The</w:t>
      </w:r>
      <w:r w:rsidR="00A46067">
        <w:t xml:space="preserve"> planning and</w:t>
      </w:r>
      <w:r>
        <w:t xml:space="preserve"> budget call circular </w:t>
      </w:r>
      <w:r w:rsidR="00EE3D56">
        <w:t xml:space="preserve">will be issued to </w:t>
      </w:r>
      <w:r>
        <w:t>include th</w:t>
      </w:r>
      <w:r w:rsidR="00961605">
        <w:t>e following instructions to MDA</w:t>
      </w:r>
      <w:r>
        <w:t>s for the annual budget submissions:</w:t>
      </w:r>
    </w:p>
    <w:p w:rsidR="00EB4621" w:rsidRDefault="00EB4621" w:rsidP="0063687B">
      <w:pPr>
        <w:pStyle w:val="Bullet"/>
        <w:jc w:val="both"/>
      </w:pPr>
      <w:r>
        <w:t xml:space="preserve">With a relatively small Capital Development Fund, priority must be given to completing ongoing projects; </w:t>
      </w:r>
    </w:p>
    <w:p w:rsidR="00EB4621" w:rsidRDefault="00EB4621" w:rsidP="0063687B">
      <w:pPr>
        <w:pStyle w:val="Bullet"/>
        <w:jc w:val="both"/>
      </w:pPr>
      <w:r>
        <w:t xml:space="preserve">Budget submissions for capital projects must include full life-time capital investment requirements (costs) and also sources of funding (particularly if grants and/or loans are being used to partially / fully fund the project); </w:t>
      </w:r>
    </w:p>
    <w:p w:rsidR="00215EEA" w:rsidRDefault="00EB4621" w:rsidP="0063687B">
      <w:pPr>
        <w:pStyle w:val="Bullet"/>
        <w:jc w:val="both"/>
      </w:pPr>
      <w:r>
        <w:t xml:space="preserve">It is recommended that any savings in Overheads can be carried forward to the following year; </w:t>
      </w:r>
    </w:p>
    <w:p w:rsidR="00A76322" w:rsidRDefault="00EB4621" w:rsidP="0063687B">
      <w:pPr>
        <w:pStyle w:val="Bullet"/>
        <w:jc w:val="both"/>
      </w:pPr>
      <w:r>
        <w:t>There should be caps on MDA increments to individual personnel and overhead items of 5% and any increases above this need written justification.</w:t>
      </w:r>
    </w:p>
    <w:p w:rsidR="00A46067" w:rsidRDefault="00A46067" w:rsidP="0063687B">
      <w:pPr>
        <w:pStyle w:val="Bullet"/>
        <w:jc w:val="both"/>
      </w:pPr>
      <w:r>
        <w:t xml:space="preserve">The policies, targets and strategies set out in the KOSEEDS, the National Vision 20:2020 and the </w:t>
      </w:r>
      <w:r w:rsidR="006E5BB9">
        <w:t>Revised</w:t>
      </w:r>
      <w:r>
        <w:t xml:space="preserve"> New Direction Blue Print</w:t>
      </w:r>
      <w:r w:rsidR="006E5BB9">
        <w:t xml:space="preserve"> of</w:t>
      </w:r>
      <w:r w:rsidR="008B1850">
        <w:t xml:space="preserve"> Let’s do MORE </w:t>
      </w:r>
      <w:r>
        <w:t>documents</w:t>
      </w:r>
      <w:r w:rsidR="00B70429">
        <w:t xml:space="preserve"> should be inculcated.</w:t>
      </w:r>
    </w:p>
    <w:p w:rsidR="00A46067" w:rsidRDefault="00A46067" w:rsidP="0063687B">
      <w:pPr>
        <w:pStyle w:val="Bullet"/>
        <w:jc w:val="both"/>
      </w:pPr>
      <w:r>
        <w:t>Projects/programmes that will generate employment, create wealth and reduce poverty level in the state;</w:t>
      </w:r>
    </w:p>
    <w:p w:rsidR="00A46067" w:rsidRDefault="00A46067" w:rsidP="0063687B">
      <w:pPr>
        <w:pStyle w:val="Bullet"/>
        <w:jc w:val="both"/>
      </w:pPr>
      <w:r>
        <w:t>Make adequate provision for projects/programmes that require Government Cash Counterpart Contribution (GCCC);</w:t>
      </w:r>
    </w:p>
    <w:p w:rsidR="00A46067" w:rsidRDefault="00A46067" w:rsidP="0063687B">
      <w:pPr>
        <w:pStyle w:val="Bullet"/>
        <w:jc w:val="both"/>
      </w:pPr>
      <w:r>
        <w:t>Projects needing rehabilitation;</w:t>
      </w:r>
    </w:p>
    <w:p w:rsidR="00A46067" w:rsidRPr="0001652D" w:rsidRDefault="00A46067" w:rsidP="0063687B">
      <w:pPr>
        <w:pStyle w:val="Bullet"/>
        <w:jc w:val="both"/>
      </w:pPr>
      <w:r>
        <w:t>Other projects that are critical to the responsibility of your organisation</w:t>
      </w:r>
      <w:r w:rsidR="008B1850">
        <w:t xml:space="preserve"> and COVID 19 solution</w:t>
      </w:r>
      <w:r>
        <w:t>.</w:t>
      </w:r>
    </w:p>
    <w:p w:rsidR="00A76322" w:rsidRDefault="00A76322" w:rsidP="0063687B">
      <w:pPr>
        <w:pStyle w:val="Heading1"/>
        <w:jc w:val="both"/>
      </w:pPr>
      <w:bookmarkStart w:id="100" w:name="_Toc454798317"/>
      <w:bookmarkStart w:id="101" w:name="_Toc79827029"/>
      <w:r>
        <w:lastRenderedPageBreak/>
        <w:t xml:space="preserve">Summary of Key Points </w:t>
      </w:r>
      <w:bookmarkEnd w:id="86"/>
      <w:bookmarkEnd w:id="87"/>
      <w:r>
        <w:t>and Recommendations</w:t>
      </w:r>
      <w:bookmarkEnd w:id="100"/>
      <w:bookmarkEnd w:id="101"/>
    </w:p>
    <w:p w:rsidR="00526B1D" w:rsidRPr="00C428D0" w:rsidRDefault="00A76322" w:rsidP="0063687B">
      <w:pPr>
        <w:pStyle w:val="NumberedPara"/>
        <w:tabs>
          <w:tab w:val="clear" w:pos="1287"/>
          <w:tab w:val="num" w:pos="540"/>
        </w:tabs>
        <w:ind w:left="540" w:hanging="540"/>
      </w:pPr>
      <w:r>
        <w:t>We summarise below</w:t>
      </w:r>
      <w:r w:rsidR="00E258C3">
        <w:t>,</w:t>
      </w:r>
      <w:r>
        <w:t xml:space="preserve"> a list of the key points arising in this document:</w:t>
      </w:r>
    </w:p>
    <w:p w:rsidR="00526B1D" w:rsidRDefault="00526B1D" w:rsidP="0063687B">
      <w:pPr>
        <w:pStyle w:val="Bullet"/>
        <w:jc w:val="both"/>
      </w:pPr>
      <w:r>
        <w:t xml:space="preserve">Risks centre </w:t>
      </w:r>
      <w:r w:rsidR="00B70429">
        <w:t>around the insecurity</w:t>
      </w:r>
      <w:r>
        <w:t xml:space="preserve"> both nat</w:t>
      </w:r>
      <w:r w:rsidR="008B1850">
        <w:t xml:space="preserve">ionally and in the state due </w:t>
      </w:r>
      <w:r w:rsidR="00E258C3" w:rsidRPr="008C6BE2">
        <w:t>to the activities of the</w:t>
      </w:r>
      <w:r w:rsidR="00E258C3">
        <w:t xml:space="preserve"> </w:t>
      </w:r>
      <w:r w:rsidR="00B70429">
        <w:t>Movement for the Actualisation of Sovereign State of Biafra (MASSOB), Indigenous People of Biafra (IPOB), Boko Haram, Kidnapping, Herdsmen Attack</w:t>
      </w:r>
      <w:r>
        <w:t>,</w:t>
      </w:r>
      <w:r w:rsidR="00AC5BD2">
        <w:t xml:space="preserve"> </w:t>
      </w:r>
      <w:r w:rsidR="00E258C3" w:rsidRPr="008C6BE2">
        <w:t>banditry</w:t>
      </w:r>
      <w:r w:rsidR="00E258C3">
        <w:t xml:space="preserve">, </w:t>
      </w:r>
      <w:r w:rsidR="00AC5BD2">
        <w:t>ramped inter-tribal crises</w:t>
      </w:r>
      <w:r w:rsidR="000C0D14">
        <w:t>, Gun Men</w:t>
      </w:r>
      <w:r>
        <w:t xml:space="preserve"> and also the still heavy dependence on fiscal transfers (Statutory Allocation, VAT and Excess Crude) to fund the budget; </w:t>
      </w:r>
    </w:p>
    <w:p w:rsidR="00526B1D" w:rsidRDefault="00526B1D" w:rsidP="0063687B">
      <w:pPr>
        <w:pStyle w:val="Bullet"/>
        <w:jc w:val="both"/>
      </w:pPr>
      <w:r>
        <w:t>Recurrent expenditure is high</w:t>
      </w:r>
      <w:r w:rsidR="00B642FF">
        <w:t xml:space="preserve"> particularly administrative sector</w:t>
      </w:r>
      <w:r>
        <w:t xml:space="preserve"> and needs to be rationalised; </w:t>
      </w:r>
    </w:p>
    <w:p w:rsidR="00A76322" w:rsidRDefault="00526B1D" w:rsidP="0063687B">
      <w:pPr>
        <w:pStyle w:val="Bullet"/>
        <w:jc w:val="both"/>
      </w:pPr>
      <w:r>
        <w:t>IGR needs to be grown to a level commensurate with the level of economic activity in the state</w:t>
      </w:r>
      <w:r w:rsidR="00EE3D56">
        <w:t>;</w:t>
      </w:r>
    </w:p>
    <w:p w:rsidR="00400ED0" w:rsidRDefault="00EE3D56" w:rsidP="0063687B">
      <w:pPr>
        <w:pStyle w:val="Bullet"/>
        <w:jc w:val="both"/>
      </w:pPr>
      <w:r>
        <w:t xml:space="preserve">The </w:t>
      </w:r>
      <w:r w:rsidR="008912B2">
        <w:t>State needs to work</w:t>
      </w:r>
      <w:r w:rsidR="00400ED0">
        <w:t xml:space="preserve"> on </w:t>
      </w:r>
      <w:r>
        <w:t xml:space="preserve">macroeconomic </w:t>
      </w:r>
      <w:r w:rsidR="00400ED0">
        <w:t xml:space="preserve">variables such as </w:t>
      </w:r>
      <w:r>
        <w:t xml:space="preserve">State </w:t>
      </w:r>
      <w:r w:rsidR="00400ED0">
        <w:t xml:space="preserve">inflation rate and </w:t>
      </w:r>
      <w:r>
        <w:t xml:space="preserve">State </w:t>
      </w:r>
      <w:r w:rsidR="00400ED0">
        <w:t>GDP growth</w:t>
      </w:r>
      <w:r w:rsidR="008912B2">
        <w:t xml:space="preserve"> &amp; State GDP Actual</w:t>
      </w:r>
    </w:p>
    <w:p w:rsidR="00DD53C2" w:rsidRPr="00DD53C2" w:rsidRDefault="00D7250A" w:rsidP="0063687B">
      <w:pPr>
        <w:pStyle w:val="Bullet"/>
        <w:jc w:val="both"/>
      </w:pPr>
      <w:r>
        <w:t xml:space="preserve">Based on the fiscal </w:t>
      </w:r>
      <w:r w:rsidR="00EE3D56">
        <w:t>trend</w:t>
      </w:r>
      <w:r>
        <w:t xml:space="preserve">, the </w:t>
      </w:r>
      <w:r>
        <w:rPr>
          <w:lang w:val="en-US"/>
        </w:rPr>
        <w:t xml:space="preserve">average </w:t>
      </w:r>
      <w:r>
        <w:t xml:space="preserve">capital expenditure ratio </w:t>
      </w:r>
      <w:r w:rsidR="006F7A36">
        <w:rPr>
          <w:lang w:val="en-US"/>
        </w:rPr>
        <w:t>over the period 201</w:t>
      </w:r>
      <w:r w:rsidR="000C0D14">
        <w:rPr>
          <w:lang w:val="en-US"/>
        </w:rPr>
        <w:t>5 -2020</w:t>
      </w:r>
      <w:r w:rsidR="00C77A9A">
        <w:rPr>
          <w:lang w:val="en-US"/>
        </w:rPr>
        <w:t xml:space="preserve"> </w:t>
      </w:r>
      <w:r>
        <w:t xml:space="preserve">is </w:t>
      </w:r>
      <w:r>
        <w:rPr>
          <w:lang w:val="en-US"/>
        </w:rPr>
        <w:t>about</w:t>
      </w:r>
      <w:r w:rsidR="00C77A9A">
        <w:rPr>
          <w:lang w:val="en-US"/>
        </w:rPr>
        <w:t xml:space="preserve"> </w:t>
      </w:r>
      <w:r w:rsidR="00874C0E">
        <w:rPr>
          <w:color w:val="000000"/>
          <w:lang w:val="en-US"/>
        </w:rPr>
        <w:t>27</w:t>
      </w:r>
      <w:r>
        <w:t xml:space="preserve">% </w:t>
      </w:r>
      <w:r>
        <w:rPr>
          <w:lang w:val="en-US"/>
        </w:rPr>
        <w:t>which is considered not good enough.</w:t>
      </w:r>
      <w:r w:rsidR="00C77A9A">
        <w:rPr>
          <w:lang w:val="en-US"/>
        </w:rPr>
        <w:t xml:space="preserve"> </w:t>
      </w:r>
      <w:r>
        <w:rPr>
          <w:lang w:val="en-US"/>
        </w:rPr>
        <w:t>It is therefore advisable to take necessary steps to raise the ratio to at least 50% by limiting the increase in recurrent expenditure and exploring ways and means for generating recurrent revenue over the medium term</w:t>
      </w:r>
      <w:r w:rsidR="00E258C3">
        <w:rPr>
          <w:lang w:val="en-US"/>
        </w:rPr>
        <w:t xml:space="preserve">. </w:t>
      </w:r>
      <w:r w:rsidR="00FB3089" w:rsidRPr="008C6BE2">
        <w:rPr>
          <w:lang w:val="en-US"/>
        </w:rPr>
        <w:t>The threat of COVID-19, if not quickly checked, can make the above stated dream a mere illusion</w:t>
      </w:r>
      <w:r w:rsidR="00DD53C2" w:rsidRPr="008C6BE2">
        <w:rPr>
          <w:lang w:val="en-US"/>
        </w:rPr>
        <w:t xml:space="preserve">, as </w:t>
      </w:r>
      <w:r w:rsidR="00F34750" w:rsidRPr="008C6BE2">
        <w:rPr>
          <w:lang w:val="en-US"/>
        </w:rPr>
        <w:t>only the vulnerable sectors and people might be prioritized under such emergency situation.</w:t>
      </w:r>
    </w:p>
    <w:p w:rsidR="00A46067" w:rsidRPr="00E258C3" w:rsidRDefault="00DD53C2" w:rsidP="0063687B">
      <w:pPr>
        <w:pStyle w:val="Bullet"/>
        <w:jc w:val="both"/>
      </w:pPr>
      <w:r>
        <w:rPr>
          <w:lang w:val="en-US"/>
        </w:rPr>
        <w:t xml:space="preserve"> </w:t>
      </w:r>
      <w:r w:rsidR="00A46067">
        <w:rPr>
          <w:lang w:val="en-US"/>
        </w:rPr>
        <w:t>Policy of Government places emphasis on</w:t>
      </w:r>
      <w:r w:rsidR="00D83BE0">
        <w:rPr>
          <w:lang w:val="en-US"/>
        </w:rPr>
        <w:t xml:space="preserve"> Education, Health, Agriculture</w:t>
      </w:r>
      <w:r w:rsidR="00A46067">
        <w:rPr>
          <w:lang w:val="en-US"/>
        </w:rPr>
        <w:t>, infrastructure</w:t>
      </w:r>
      <w:r w:rsidR="00D83BE0">
        <w:rPr>
          <w:lang w:val="en-US"/>
        </w:rPr>
        <w:t>, youth engagement, Civil Service Reforms, Security</w:t>
      </w:r>
      <w:r w:rsidR="00A46067">
        <w:rPr>
          <w:lang w:val="en-US"/>
        </w:rPr>
        <w:t xml:space="preserve"> and </w:t>
      </w:r>
      <w:r w:rsidR="00D83BE0">
        <w:rPr>
          <w:lang w:val="en-US"/>
        </w:rPr>
        <w:t>Funding Governance</w:t>
      </w:r>
      <w:r w:rsidR="00A46067">
        <w:rPr>
          <w:lang w:val="en-US"/>
        </w:rPr>
        <w:t>.</w:t>
      </w:r>
    </w:p>
    <w:p w:rsidR="00E258C3" w:rsidRPr="009F4ECF" w:rsidRDefault="00E258C3" w:rsidP="007F2BF2">
      <w:pPr>
        <w:pStyle w:val="Bullet"/>
        <w:numPr>
          <w:ilvl w:val="0"/>
          <w:numId w:val="0"/>
        </w:numPr>
        <w:ind w:left="1134"/>
        <w:jc w:val="both"/>
      </w:pPr>
    </w:p>
    <w:sectPr w:rsidR="00E258C3" w:rsidRPr="009F4ECF" w:rsidSect="000011D4">
      <w:pgSz w:w="11906" w:h="16838" w:code="9"/>
      <w:pgMar w:top="1440" w:right="1286" w:bottom="1440" w:left="9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0326" w:rsidRDefault="001A0326">
      <w:r>
        <w:separator/>
      </w:r>
    </w:p>
  </w:endnote>
  <w:endnote w:type="continuationSeparator" w:id="0">
    <w:p w:rsidR="001A0326" w:rsidRDefault="001A0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Bright">
    <w:panose1 w:val="020406020505050203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919" w:rsidRDefault="008D69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919" w:rsidRDefault="008D69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919" w:rsidRDefault="008D69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919" w:rsidRDefault="008D6919" w:rsidP="00A76322">
    <w:pPr>
      <w:pStyle w:val="Footer"/>
      <w:jc w:val="center"/>
    </w:pPr>
    <w:r>
      <w:rPr>
        <w:rStyle w:val="PageNumber"/>
      </w:rPr>
      <w:fldChar w:fldCharType="begin"/>
    </w:r>
    <w:r>
      <w:rPr>
        <w:rStyle w:val="PageNumber"/>
      </w:rPr>
      <w:instrText xml:space="preserve"> PAGE </w:instrText>
    </w:r>
    <w:r>
      <w:rPr>
        <w:rStyle w:val="PageNumber"/>
      </w:rPr>
      <w:fldChar w:fldCharType="separate"/>
    </w:r>
    <w:r w:rsidR="00E334A7">
      <w:rPr>
        <w:rStyle w:val="PageNumber"/>
        <w:noProof/>
      </w:rPr>
      <w:t>vii</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919" w:rsidRDefault="008D6919" w:rsidP="00A76322">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E334A7">
      <w:rPr>
        <w:rStyle w:val="PageNumber"/>
        <w:noProof/>
      </w:rPr>
      <w:t>50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0326" w:rsidRDefault="001A0326">
      <w:r>
        <w:separator/>
      </w:r>
    </w:p>
  </w:footnote>
  <w:footnote w:type="continuationSeparator" w:id="0">
    <w:p w:rsidR="001A0326" w:rsidRDefault="001A0326">
      <w:r>
        <w:continuationSeparator/>
      </w:r>
    </w:p>
  </w:footnote>
  <w:footnote w:id="1">
    <w:p w:rsidR="008D6919" w:rsidRDefault="008D6919">
      <w:pPr>
        <w:pStyle w:val="FootnoteText"/>
      </w:pPr>
      <w:r>
        <w:rPr>
          <w:rStyle w:val="FootnoteReference"/>
        </w:rPr>
        <w:footnoteRef/>
      </w:r>
      <w:r>
        <w:t xml:space="preserve"> Based on June, 2009 PEMFAR Assessment for Kogi State</w:t>
      </w:r>
    </w:p>
  </w:footnote>
  <w:footnote w:id="2">
    <w:p w:rsidR="008D6919" w:rsidRDefault="008D6919" w:rsidP="00CF2199">
      <w:pPr>
        <w:pStyle w:val="FootnoteText"/>
        <w:ind w:left="288" w:hanging="288"/>
      </w:pPr>
      <w:r>
        <w:rPr>
          <w:rStyle w:val="FootnoteReference"/>
        </w:rPr>
        <w:footnoteRef/>
      </w:r>
      <w:r>
        <w:t xml:space="preserve">   The Executive Council comprises the Governor, the Deputy Governor, Secretary to the State Government and Commissioners</w:t>
      </w:r>
    </w:p>
  </w:footnote>
  <w:footnote w:id="3">
    <w:p w:rsidR="008D6919" w:rsidRPr="006D7826" w:rsidRDefault="008D6919" w:rsidP="00CF2199">
      <w:pPr>
        <w:pStyle w:val="FootnoteText"/>
        <w:ind w:left="288" w:hanging="288"/>
      </w:pPr>
      <w:r>
        <w:rPr>
          <w:rStyle w:val="FootnoteReference"/>
        </w:rPr>
        <w:footnoteRef/>
      </w:r>
      <w:r w:rsidRPr="006D7826">
        <w:t>Each state determines whether it w</w:t>
      </w:r>
      <w:r>
        <w:t>ants</w:t>
      </w:r>
      <w:r w:rsidRPr="006D7826">
        <w:rPr>
          <w:color w:val="000000"/>
        </w:rPr>
        <w:t xml:space="preserve"> the Sharia Court of Appeal and the Customary Court of Appeal </w:t>
      </w:r>
    </w:p>
  </w:footnote>
  <w:footnote w:id="4">
    <w:p w:rsidR="008D6919" w:rsidRPr="00A45308" w:rsidRDefault="008D6919">
      <w:pPr>
        <w:pStyle w:val="FootnoteText"/>
        <w:rPr>
          <w:lang w:val="en-US"/>
        </w:rPr>
      </w:pPr>
      <w:r>
        <w:rPr>
          <w:rStyle w:val="FootnoteReference"/>
        </w:rPr>
        <w:footnoteRef/>
      </w:r>
      <w:r>
        <w:rPr>
          <w:lang w:val="en-US"/>
        </w:rPr>
        <w:t>April 2020, World Economic Outlook (WEO)</w:t>
      </w:r>
    </w:p>
  </w:footnote>
  <w:footnote w:id="5">
    <w:p w:rsidR="008D6919" w:rsidRDefault="008D6919" w:rsidP="00F408E1">
      <w:pPr>
        <w:pStyle w:val="FootnoteText"/>
      </w:pPr>
    </w:p>
  </w:footnote>
  <w:footnote w:id="6">
    <w:p w:rsidR="008D6919" w:rsidRPr="00B94001" w:rsidRDefault="008D6919">
      <w:pPr>
        <w:pStyle w:val="FootnoteText"/>
        <w:rPr>
          <w:lang w:val="en-US"/>
        </w:rPr>
      </w:pPr>
      <w:r>
        <w:rPr>
          <w:rStyle w:val="FootnoteReference"/>
        </w:rPr>
        <w:footnoteRef/>
      </w:r>
      <w:r>
        <w:t>Source:</w:t>
      </w:r>
      <w:r w:rsidRPr="00F7615F">
        <w:t xml:space="preserve"> </w:t>
      </w:r>
      <w:r>
        <w:t>AFRICA’S GROWTH PERFORMANCE AND OUTLOOK AMID THE COVID–19 PANDEMIC</w:t>
      </w:r>
    </w:p>
  </w:footnote>
  <w:footnote w:id="7">
    <w:p w:rsidR="008D6919" w:rsidRDefault="008D6919" w:rsidP="00A76322">
      <w:pPr>
        <w:pStyle w:val="FootnoteText"/>
      </w:pPr>
      <w:r>
        <w:rPr>
          <w:rStyle w:val="FootnoteReference"/>
        </w:rPr>
        <w:footnoteRef/>
      </w:r>
      <w:r>
        <w:t xml:space="preserve"> Source:</w:t>
      </w:r>
      <w:r w:rsidRPr="00710C59">
        <w:t xml:space="preserve"> Nigeria Economic Outlook</w:t>
      </w:r>
      <w:r>
        <w:t xml:space="preserve"> (Online publishing)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919" w:rsidRDefault="001A0326">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23594" o:spid="_x0000_s2058" type="#_x0000_t75" style="position:absolute;margin-left:0;margin-top:0;width:415.2pt;height:415.2pt;z-index:-251661824;mso-position-horizontal:center;mso-position-horizontal-relative:margin;mso-position-vertical:center;mso-position-vertical-relative:margin" o:allowincell="f">
          <v:imagedata r:id="rId1" o:title="IMG-20160716-WA000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919" w:rsidRDefault="001A0326">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23595" o:spid="_x0000_s2059" type="#_x0000_t75" style="position:absolute;margin-left:0;margin-top:0;width:415.2pt;height:415.2pt;z-index:-251660800;mso-position-horizontal:center;mso-position-horizontal-relative:margin;mso-position-vertical:center;mso-position-vertical-relative:margin" o:allowincell="f">
          <v:imagedata r:id="rId1" o:title="IMG-20160716-WA0000"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919" w:rsidRDefault="001A0326">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23593" o:spid="_x0000_s2057" type="#_x0000_t75" style="position:absolute;margin-left:0;margin-top:0;width:415.2pt;height:415.2pt;z-index:-251662848;mso-position-horizontal:center;mso-position-horizontal-relative:margin;mso-position-vertical:center;mso-position-vertical-relative:margin" o:allowincell="f">
          <v:imagedata r:id="rId1" o:title="IMG-20160716-WA0000"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919" w:rsidRDefault="001A0326">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23597" o:spid="_x0000_s2061" type="#_x0000_t75" style="position:absolute;margin-left:0;margin-top:0;width:415.2pt;height:415.2pt;z-index:-251658752;mso-position-horizontal:center;mso-position-horizontal-relative:margin;mso-position-vertical:center;mso-position-vertical-relative:margin" o:allowincell="f">
          <v:imagedata r:id="rId1" o:title="IMG-20160716-WA0000"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919" w:rsidRDefault="001A0326" w:rsidP="00A76322">
    <w:pPr>
      <w:pStyle w:val="Header"/>
      <w:jc w:val="right"/>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23598" o:spid="_x0000_s2062" type="#_x0000_t75" style="position:absolute;left:0;text-align:left;margin-left:0;margin-top:0;width:415.2pt;height:415.2pt;z-index:-251657728;mso-position-horizontal:center;mso-position-horizontal-relative:margin;mso-position-vertical:center;mso-position-vertical-relative:margin" o:allowincell="f">
          <v:imagedata r:id="rId1" o:title="IMG-20160716-WA0000" gain="19661f" blacklevel="22938f"/>
          <w10:wrap anchorx="margin" anchory="margin"/>
        </v:shape>
      </w:pict>
    </w:r>
    <w:r w:rsidR="008D6919">
      <w:t>Kogi</w:t>
    </w:r>
    <w:r w:rsidR="008D6919" w:rsidRPr="003E60E6">
      <w:t xml:space="preserve"> State Government </w:t>
    </w:r>
    <w:r w:rsidR="008D6919">
      <w:t xml:space="preserve">MTEF - 2022 -2024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919" w:rsidRDefault="001A0326">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23596" o:spid="_x0000_s2060" type="#_x0000_t75" style="position:absolute;margin-left:0;margin-top:0;width:415.2pt;height:415.2pt;z-index:-251659776;mso-position-horizontal:center;mso-position-horizontal-relative:margin;mso-position-vertical:center;mso-position-vertical-relative:margin" o:allowincell="f">
          <v:imagedata r:id="rId1" o:title="IMG-20160716-WA0000"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919" w:rsidRDefault="001A0326">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23600" o:spid="_x0000_s2064" type="#_x0000_t75" style="position:absolute;margin-left:0;margin-top:0;width:415.2pt;height:415.2pt;z-index:-251655680;mso-position-horizontal:center;mso-position-horizontal-relative:margin;mso-position-vertical:center;mso-position-vertical-relative:margin" o:allowincell="f">
          <v:imagedata r:id="rId1" o:title="IMG-20160716-WA0000"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919" w:rsidRDefault="008D6919" w:rsidP="00A34A5D">
    <w:pPr>
      <w:pStyle w:val="Header"/>
      <w:jc w:val="right"/>
    </w:pPr>
    <w:r>
      <w:t>Kogi</w:t>
    </w:r>
    <w:r w:rsidRPr="003E60E6">
      <w:t xml:space="preserve"> State Government </w:t>
    </w:r>
    <w:r>
      <w:t>MTEF - 2022 -2024</w:t>
    </w:r>
    <w:r w:rsidR="001A0326">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23601" o:spid="_x0000_s2065" type="#_x0000_t75" style="position:absolute;left:0;text-align:left;margin-left:0;margin-top:0;width:415.2pt;height:415.2pt;z-index:-251654656;mso-position-horizontal:center;mso-position-horizontal-relative:margin;mso-position-vertical:center;mso-position-vertical-relative:margin" o:allowincell="f">
          <v:imagedata r:id="rId1" o:title="IMG-20160716-WA0000"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919" w:rsidRDefault="001A0326">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23599" o:spid="_x0000_s2063" type="#_x0000_t75" style="position:absolute;margin-left:0;margin-top:0;width:415.2pt;height:415.2pt;z-index:-251656704;mso-position-horizontal:center;mso-position-horizontal-relative:margin;mso-position-vertical:center;mso-position-vertical-relative:margin" o:allowincell="f">
          <v:imagedata r:id="rId1" o:title="IMG-20160716-WA000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7779E"/>
    <w:multiLevelType w:val="hybridMultilevel"/>
    <w:tmpl w:val="B5E6B796"/>
    <w:lvl w:ilvl="0" w:tplc="5A0C13C6">
      <w:start w:val="1"/>
      <w:numFmt w:val="lowerRoman"/>
      <w:pStyle w:val="IndentedNumber"/>
      <w:lvlText w:val="%1."/>
      <w:lvlJc w:val="left"/>
      <w:pPr>
        <w:tabs>
          <w:tab w:val="num" w:pos="1134"/>
        </w:tabs>
        <w:ind w:left="1134" w:hanging="454"/>
      </w:pPr>
      <w:rPr>
        <w:rFonts w:ascii="Calibri" w:hAnsi="Calibri" w:hint="default"/>
        <w:sz w:val="20"/>
      </w:rPr>
    </w:lvl>
    <w:lvl w:ilvl="1" w:tplc="0F360EAE" w:tentative="1">
      <w:start w:val="1"/>
      <w:numFmt w:val="lowerLetter"/>
      <w:lvlText w:val="%2."/>
      <w:lvlJc w:val="left"/>
      <w:pPr>
        <w:tabs>
          <w:tab w:val="num" w:pos="1440"/>
        </w:tabs>
        <w:ind w:left="1440" w:hanging="360"/>
      </w:pPr>
    </w:lvl>
    <w:lvl w:ilvl="2" w:tplc="8524337E" w:tentative="1">
      <w:start w:val="1"/>
      <w:numFmt w:val="lowerRoman"/>
      <w:lvlText w:val="%3."/>
      <w:lvlJc w:val="right"/>
      <w:pPr>
        <w:tabs>
          <w:tab w:val="num" w:pos="2160"/>
        </w:tabs>
        <w:ind w:left="2160" w:hanging="180"/>
      </w:pPr>
    </w:lvl>
    <w:lvl w:ilvl="3" w:tplc="D7961E34" w:tentative="1">
      <w:start w:val="1"/>
      <w:numFmt w:val="decimal"/>
      <w:lvlText w:val="%4."/>
      <w:lvlJc w:val="left"/>
      <w:pPr>
        <w:tabs>
          <w:tab w:val="num" w:pos="2880"/>
        </w:tabs>
        <w:ind w:left="2880" w:hanging="360"/>
      </w:pPr>
    </w:lvl>
    <w:lvl w:ilvl="4" w:tplc="0DB2BDBA" w:tentative="1">
      <w:start w:val="1"/>
      <w:numFmt w:val="lowerLetter"/>
      <w:lvlText w:val="%5."/>
      <w:lvlJc w:val="left"/>
      <w:pPr>
        <w:tabs>
          <w:tab w:val="num" w:pos="3600"/>
        </w:tabs>
        <w:ind w:left="3600" w:hanging="360"/>
      </w:pPr>
    </w:lvl>
    <w:lvl w:ilvl="5" w:tplc="F996997E" w:tentative="1">
      <w:start w:val="1"/>
      <w:numFmt w:val="lowerRoman"/>
      <w:lvlText w:val="%6."/>
      <w:lvlJc w:val="right"/>
      <w:pPr>
        <w:tabs>
          <w:tab w:val="num" w:pos="4320"/>
        </w:tabs>
        <w:ind w:left="4320" w:hanging="180"/>
      </w:pPr>
    </w:lvl>
    <w:lvl w:ilvl="6" w:tplc="21DC61EC" w:tentative="1">
      <w:start w:val="1"/>
      <w:numFmt w:val="decimal"/>
      <w:lvlText w:val="%7."/>
      <w:lvlJc w:val="left"/>
      <w:pPr>
        <w:tabs>
          <w:tab w:val="num" w:pos="5040"/>
        </w:tabs>
        <w:ind w:left="5040" w:hanging="360"/>
      </w:pPr>
    </w:lvl>
    <w:lvl w:ilvl="7" w:tplc="36688754" w:tentative="1">
      <w:start w:val="1"/>
      <w:numFmt w:val="lowerLetter"/>
      <w:lvlText w:val="%8."/>
      <w:lvlJc w:val="left"/>
      <w:pPr>
        <w:tabs>
          <w:tab w:val="num" w:pos="5760"/>
        </w:tabs>
        <w:ind w:left="5760" w:hanging="360"/>
      </w:pPr>
    </w:lvl>
    <w:lvl w:ilvl="8" w:tplc="270A27AE" w:tentative="1">
      <w:start w:val="1"/>
      <w:numFmt w:val="lowerRoman"/>
      <w:lvlText w:val="%9."/>
      <w:lvlJc w:val="right"/>
      <w:pPr>
        <w:tabs>
          <w:tab w:val="num" w:pos="6480"/>
        </w:tabs>
        <w:ind w:left="6480" w:hanging="180"/>
      </w:pPr>
    </w:lvl>
  </w:abstractNum>
  <w:abstractNum w:abstractNumId="1" w15:restartNumberingAfterBreak="0">
    <w:nsid w:val="25085793"/>
    <w:multiLevelType w:val="hybridMultilevel"/>
    <w:tmpl w:val="D124C78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2452E8A"/>
    <w:multiLevelType w:val="hybridMultilevel"/>
    <w:tmpl w:val="473E92E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5A3378C"/>
    <w:multiLevelType w:val="hybridMultilevel"/>
    <w:tmpl w:val="6752315C"/>
    <w:lvl w:ilvl="0" w:tplc="6A526D54">
      <w:start w:val="1"/>
      <w:numFmt w:val="decimal"/>
      <w:pStyle w:val="KeyPoint"/>
      <w:lvlText w:val="Key Point %1."/>
      <w:lvlJc w:val="left"/>
      <w:pPr>
        <w:tabs>
          <w:tab w:val="num" w:pos="567"/>
        </w:tabs>
        <w:ind w:left="567" w:firstLine="0"/>
      </w:pPr>
      <w:rPr>
        <w:rFonts w:ascii="Tahoma" w:hAnsi="Tahoma" w:hint="default"/>
        <w:b/>
        <w:i/>
        <w:sz w:val="20"/>
      </w:rPr>
    </w:lvl>
    <w:lvl w:ilvl="1" w:tplc="96E65AF6" w:tentative="1">
      <w:start w:val="1"/>
      <w:numFmt w:val="lowerLetter"/>
      <w:lvlText w:val="%2."/>
      <w:lvlJc w:val="left"/>
      <w:pPr>
        <w:tabs>
          <w:tab w:val="num" w:pos="1440"/>
        </w:tabs>
        <w:ind w:left="1440" w:hanging="360"/>
      </w:pPr>
    </w:lvl>
    <w:lvl w:ilvl="2" w:tplc="F320B6BE" w:tentative="1">
      <w:start w:val="1"/>
      <w:numFmt w:val="lowerRoman"/>
      <w:lvlText w:val="%3."/>
      <w:lvlJc w:val="right"/>
      <w:pPr>
        <w:tabs>
          <w:tab w:val="num" w:pos="2160"/>
        </w:tabs>
        <w:ind w:left="2160" w:hanging="180"/>
      </w:pPr>
    </w:lvl>
    <w:lvl w:ilvl="3" w:tplc="0A38515E" w:tentative="1">
      <w:start w:val="1"/>
      <w:numFmt w:val="decimal"/>
      <w:lvlText w:val="%4."/>
      <w:lvlJc w:val="left"/>
      <w:pPr>
        <w:tabs>
          <w:tab w:val="num" w:pos="2880"/>
        </w:tabs>
        <w:ind w:left="2880" w:hanging="360"/>
      </w:pPr>
    </w:lvl>
    <w:lvl w:ilvl="4" w:tplc="FB20A6E6" w:tentative="1">
      <w:start w:val="1"/>
      <w:numFmt w:val="lowerLetter"/>
      <w:lvlText w:val="%5."/>
      <w:lvlJc w:val="left"/>
      <w:pPr>
        <w:tabs>
          <w:tab w:val="num" w:pos="3600"/>
        </w:tabs>
        <w:ind w:left="3600" w:hanging="360"/>
      </w:pPr>
    </w:lvl>
    <w:lvl w:ilvl="5" w:tplc="50F65662" w:tentative="1">
      <w:start w:val="1"/>
      <w:numFmt w:val="lowerRoman"/>
      <w:lvlText w:val="%6."/>
      <w:lvlJc w:val="right"/>
      <w:pPr>
        <w:tabs>
          <w:tab w:val="num" w:pos="4320"/>
        </w:tabs>
        <w:ind w:left="4320" w:hanging="180"/>
      </w:pPr>
    </w:lvl>
    <w:lvl w:ilvl="6" w:tplc="62F6FA6E" w:tentative="1">
      <w:start w:val="1"/>
      <w:numFmt w:val="decimal"/>
      <w:lvlText w:val="%7."/>
      <w:lvlJc w:val="left"/>
      <w:pPr>
        <w:tabs>
          <w:tab w:val="num" w:pos="5040"/>
        </w:tabs>
        <w:ind w:left="5040" w:hanging="360"/>
      </w:pPr>
    </w:lvl>
    <w:lvl w:ilvl="7" w:tplc="0A1E8C1C" w:tentative="1">
      <w:start w:val="1"/>
      <w:numFmt w:val="lowerLetter"/>
      <w:lvlText w:val="%8."/>
      <w:lvlJc w:val="left"/>
      <w:pPr>
        <w:tabs>
          <w:tab w:val="num" w:pos="5760"/>
        </w:tabs>
        <w:ind w:left="5760" w:hanging="360"/>
      </w:pPr>
    </w:lvl>
    <w:lvl w:ilvl="8" w:tplc="95F43154" w:tentative="1">
      <w:start w:val="1"/>
      <w:numFmt w:val="lowerRoman"/>
      <w:lvlText w:val="%9."/>
      <w:lvlJc w:val="right"/>
      <w:pPr>
        <w:tabs>
          <w:tab w:val="num" w:pos="6480"/>
        </w:tabs>
        <w:ind w:left="6480" w:hanging="180"/>
      </w:pPr>
    </w:lvl>
  </w:abstractNum>
  <w:abstractNum w:abstractNumId="4" w15:restartNumberingAfterBreak="0">
    <w:nsid w:val="545D34E7"/>
    <w:multiLevelType w:val="hybridMultilevel"/>
    <w:tmpl w:val="5FB6309A"/>
    <w:lvl w:ilvl="0" w:tplc="ED764C68">
      <w:start w:val="1"/>
      <w:numFmt w:val="bullet"/>
      <w:pStyle w:val="Bullet"/>
      <w:lvlText w:val=""/>
      <w:lvlJc w:val="left"/>
      <w:pPr>
        <w:tabs>
          <w:tab w:val="num" w:pos="1134"/>
        </w:tabs>
        <w:ind w:left="1134" w:hanging="567"/>
      </w:pPr>
      <w:rPr>
        <w:rFonts w:ascii="Symbol" w:hAnsi="Symbol" w:hint="default"/>
        <w:color w:val="758453"/>
        <w:sz w:val="20"/>
      </w:rPr>
    </w:lvl>
    <w:lvl w:ilvl="1" w:tplc="C5C0D09A" w:tentative="1">
      <w:start w:val="1"/>
      <w:numFmt w:val="lowerLetter"/>
      <w:lvlText w:val="%2."/>
      <w:lvlJc w:val="left"/>
      <w:pPr>
        <w:tabs>
          <w:tab w:val="num" w:pos="1440"/>
        </w:tabs>
        <w:ind w:left="1440" w:hanging="360"/>
      </w:pPr>
    </w:lvl>
    <w:lvl w:ilvl="2" w:tplc="60AE6CA6" w:tentative="1">
      <w:start w:val="1"/>
      <w:numFmt w:val="lowerRoman"/>
      <w:lvlText w:val="%3."/>
      <w:lvlJc w:val="right"/>
      <w:pPr>
        <w:tabs>
          <w:tab w:val="num" w:pos="2160"/>
        </w:tabs>
        <w:ind w:left="2160" w:hanging="180"/>
      </w:pPr>
    </w:lvl>
    <w:lvl w:ilvl="3" w:tplc="B3E4B022" w:tentative="1">
      <w:start w:val="1"/>
      <w:numFmt w:val="decimal"/>
      <w:lvlText w:val="%4."/>
      <w:lvlJc w:val="left"/>
      <w:pPr>
        <w:tabs>
          <w:tab w:val="num" w:pos="2880"/>
        </w:tabs>
        <w:ind w:left="2880" w:hanging="360"/>
      </w:pPr>
    </w:lvl>
    <w:lvl w:ilvl="4" w:tplc="8CA04BF2" w:tentative="1">
      <w:start w:val="1"/>
      <w:numFmt w:val="lowerLetter"/>
      <w:lvlText w:val="%5."/>
      <w:lvlJc w:val="left"/>
      <w:pPr>
        <w:tabs>
          <w:tab w:val="num" w:pos="3600"/>
        </w:tabs>
        <w:ind w:left="3600" w:hanging="360"/>
      </w:pPr>
    </w:lvl>
    <w:lvl w:ilvl="5" w:tplc="E898C7B6" w:tentative="1">
      <w:start w:val="1"/>
      <w:numFmt w:val="lowerRoman"/>
      <w:lvlText w:val="%6."/>
      <w:lvlJc w:val="right"/>
      <w:pPr>
        <w:tabs>
          <w:tab w:val="num" w:pos="4320"/>
        </w:tabs>
        <w:ind w:left="4320" w:hanging="180"/>
      </w:pPr>
    </w:lvl>
    <w:lvl w:ilvl="6" w:tplc="09D2106A" w:tentative="1">
      <w:start w:val="1"/>
      <w:numFmt w:val="decimal"/>
      <w:lvlText w:val="%7."/>
      <w:lvlJc w:val="left"/>
      <w:pPr>
        <w:tabs>
          <w:tab w:val="num" w:pos="5040"/>
        </w:tabs>
        <w:ind w:left="5040" w:hanging="360"/>
      </w:pPr>
    </w:lvl>
    <w:lvl w:ilvl="7" w:tplc="29CE2F88" w:tentative="1">
      <w:start w:val="1"/>
      <w:numFmt w:val="lowerLetter"/>
      <w:lvlText w:val="%8."/>
      <w:lvlJc w:val="left"/>
      <w:pPr>
        <w:tabs>
          <w:tab w:val="num" w:pos="5760"/>
        </w:tabs>
        <w:ind w:left="5760" w:hanging="360"/>
      </w:pPr>
    </w:lvl>
    <w:lvl w:ilvl="8" w:tplc="E238205C" w:tentative="1">
      <w:start w:val="1"/>
      <w:numFmt w:val="lowerRoman"/>
      <w:lvlText w:val="%9."/>
      <w:lvlJc w:val="right"/>
      <w:pPr>
        <w:tabs>
          <w:tab w:val="num" w:pos="6480"/>
        </w:tabs>
        <w:ind w:left="6480" w:hanging="180"/>
      </w:pPr>
    </w:lvl>
  </w:abstractNum>
  <w:abstractNum w:abstractNumId="5" w15:restartNumberingAfterBreak="0">
    <w:nsid w:val="57D26B22"/>
    <w:multiLevelType w:val="hybridMultilevel"/>
    <w:tmpl w:val="70B094A4"/>
    <w:lvl w:ilvl="0" w:tplc="FFFFFFFF">
      <w:start w:val="1"/>
      <w:numFmt w:val="decimal"/>
      <w:pStyle w:val="NumberedPara"/>
      <w:lvlText w:val="%1."/>
      <w:lvlJc w:val="left"/>
      <w:pPr>
        <w:tabs>
          <w:tab w:val="num" w:pos="1287"/>
        </w:tabs>
        <w:ind w:left="1287" w:hanging="567"/>
      </w:pPr>
      <w:rPr>
        <w:rFonts w:ascii="Tahoma" w:hAnsi="Tahoma" w:hint="default"/>
        <w:sz w:val="20"/>
      </w:rPr>
    </w:lvl>
    <w:lvl w:ilvl="1" w:tplc="046A0001">
      <w:start w:val="1"/>
      <w:numFmt w:val="bullet"/>
      <w:lvlText w:val=""/>
      <w:lvlJc w:val="left"/>
      <w:pPr>
        <w:tabs>
          <w:tab w:val="num" w:pos="2160"/>
        </w:tabs>
        <w:ind w:left="2160" w:hanging="360"/>
      </w:pPr>
      <w:rPr>
        <w:rFonts w:ascii="Symbol" w:hAnsi="Symbol" w:hint="default"/>
      </w:rPr>
    </w:lvl>
    <w:lvl w:ilvl="2" w:tplc="BC98B810">
      <w:start w:val="20"/>
      <w:numFmt w:val="decimal"/>
      <w:lvlText w:val="%3"/>
      <w:lvlJc w:val="left"/>
      <w:pPr>
        <w:ind w:left="3060" w:hanging="360"/>
      </w:pPr>
      <w:rPr>
        <w:rFonts w:hint="default"/>
        <w:color w:val="000000"/>
      </w:r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6" w15:restartNumberingAfterBreak="0">
    <w:nsid w:val="5A5C3E9F"/>
    <w:multiLevelType w:val="multilevel"/>
    <w:tmpl w:val="05D64A42"/>
    <w:lvl w:ilvl="0">
      <w:start w:val="1"/>
      <w:numFmt w:val="decimal"/>
      <w:pStyle w:val="Heading1"/>
      <w:lvlText w:val="Section %1"/>
      <w:lvlJc w:val="left"/>
      <w:pPr>
        <w:tabs>
          <w:tab w:val="num" w:pos="2268"/>
        </w:tabs>
        <w:ind w:left="2268" w:hanging="2268"/>
      </w:pPr>
      <w:rPr>
        <w:rFonts w:ascii="Tahoma" w:hAnsi="Tahoma" w:cs="Times New Roman" w:hint="default"/>
        <w:b/>
        <w:i w:val="0"/>
        <w:sz w:val="40"/>
      </w:rPr>
    </w:lvl>
    <w:lvl w:ilvl="1">
      <w:start w:val="1"/>
      <w:numFmt w:val="upperLetter"/>
      <w:pStyle w:val="Heading2"/>
      <w:lvlText w:val="%1.%2"/>
      <w:lvlJc w:val="left"/>
      <w:pPr>
        <w:tabs>
          <w:tab w:val="num" w:pos="1134"/>
        </w:tabs>
        <w:ind w:left="1134" w:hanging="1134"/>
      </w:pPr>
      <w:rPr>
        <w:rFonts w:ascii="Tahoma" w:hAnsi="Tahoma" w:cs="Times New Roman" w:hint="default"/>
        <w:b/>
        <w:i w:val="0"/>
        <w:sz w:val="32"/>
      </w:rPr>
    </w:lvl>
    <w:lvl w:ilvl="2">
      <w:start w:val="1"/>
      <w:numFmt w:val="decimal"/>
      <w:pStyle w:val="Heading3"/>
      <w:lvlText w:val="%1.%2.%3"/>
      <w:lvlJc w:val="left"/>
      <w:pPr>
        <w:tabs>
          <w:tab w:val="num" w:pos="1134"/>
        </w:tabs>
        <w:ind w:left="1134" w:hanging="1134"/>
      </w:pPr>
      <w:rPr>
        <w:rFonts w:ascii="Tahoma" w:hAnsi="Tahoma" w:cs="Times New Roman" w:hint="default"/>
        <w:b/>
        <w:i w:val="0"/>
        <w:sz w:val="24"/>
      </w:rPr>
    </w:lvl>
    <w:lvl w:ilvl="3">
      <w:start w:val="1"/>
      <w:numFmt w:val="none"/>
      <w:lvlText w:val=""/>
      <w:lvlJc w:val="left"/>
      <w:pPr>
        <w:tabs>
          <w:tab w:val="num" w:pos="0"/>
        </w:tabs>
        <w:ind w:left="0" w:firstLine="0"/>
      </w:pPr>
      <w:rPr>
        <w:rFonts w:cs="Times New Roman" w:hint="default"/>
        <w:b/>
        <w:i w:val="0"/>
        <w:sz w:val="22"/>
      </w:rPr>
    </w:lvl>
    <w:lvl w:ilvl="4">
      <w:start w:val="1"/>
      <w:numFmt w:val="decimal"/>
      <w:lvlText w:val="%1.%2.%3.%4.%5"/>
      <w:lvlJc w:val="left"/>
      <w:pPr>
        <w:tabs>
          <w:tab w:val="num" w:pos="1989"/>
        </w:tabs>
        <w:ind w:left="1989" w:hanging="1008"/>
      </w:pPr>
      <w:rPr>
        <w:rFonts w:cs="Times New Roman" w:hint="default"/>
      </w:rPr>
    </w:lvl>
    <w:lvl w:ilvl="5">
      <w:start w:val="1"/>
      <w:numFmt w:val="decimal"/>
      <w:lvlText w:val="%1.%2.%3.%4.%5.%6"/>
      <w:lvlJc w:val="left"/>
      <w:pPr>
        <w:tabs>
          <w:tab w:val="num" w:pos="2133"/>
        </w:tabs>
        <w:ind w:left="2133" w:hanging="1152"/>
      </w:pPr>
      <w:rPr>
        <w:rFonts w:cs="Times New Roman" w:hint="default"/>
      </w:rPr>
    </w:lvl>
    <w:lvl w:ilvl="6">
      <w:start w:val="1"/>
      <w:numFmt w:val="decimal"/>
      <w:lvlText w:val="%1.%2.%3.%4.%5.%6.%7"/>
      <w:lvlJc w:val="left"/>
      <w:pPr>
        <w:tabs>
          <w:tab w:val="num" w:pos="2277"/>
        </w:tabs>
        <w:ind w:left="2277" w:hanging="1296"/>
      </w:pPr>
      <w:rPr>
        <w:rFonts w:cs="Times New Roman" w:hint="default"/>
      </w:rPr>
    </w:lvl>
    <w:lvl w:ilvl="7">
      <w:start w:val="1"/>
      <w:numFmt w:val="decimal"/>
      <w:lvlText w:val="%1.%2.%3.%4.%5.%6.%7.%8"/>
      <w:lvlJc w:val="left"/>
      <w:pPr>
        <w:tabs>
          <w:tab w:val="num" w:pos="2115"/>
        </w:tabs>
        <w:ind w:left="2115" w:hanging="567"/>
      </w:pPr>
      <w:rPr>
        <w:rFonts w:cs="Times New Roman" w:hint="default"/>
      </w:rPr>
    </w:lvl>
    <w:lvl w:ilvl="8">
      <w:start w:val="1"/>
      <w:numFmt w:val="decimal"/>
      <w:lvlText w:val="%1.%2.%3.%4.%5.%6.%7.%8.%9"/>
      <w:lvlJc w:val="left"/>
      <w:pPr>
        <w:tabs>
          <w:tab w:val="num" w:pos="2565"/>
        </w:tabs>
        <w:ind w:left="2565" w:hanging="1584"/>
      </w:pPr>
      <w:rPr>
        <w:rFonts w:cs="Times New Roman" w:hint="default"/>
      </w:rPr>
    </w:lvl>
  </w:abstractNum>
  <w:abstractNum w:abstractNumId="7" w15:restartNumberingAfterBreak="0">
    <w:nsid w:val="63F1614D"/>
    <w:multiLevelType w:val="hybridMultilevel"/>
    <w:tmpl w:val="0BEA7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5024E6"/>
    <w:multiLevelType w:val="hybridMultilevel"/>
    <w:tmpl w:val="F734288C"/>
    <w:lvl w:ilvl="0" w:tplc="5516A790">
      <w:start w:val="1"/>
      <w:numFmt w:val="lowerRoman"/>
      <w:pStyle w:val="NumberedBullet"/>
      <w:lvlText w:val="%1."/>
      <w:lvlJc w:val="left"/>
      <w:pPr>
        <w:tabs>
          <w:tab w:val="num" w:pos="1134"/>
        </w:tabs>
        <w:ind w:left="1134" w:hanging="567"/>
      </w:pPr>
      <w:rPr>
        <w:rFonts w:hint="default"/>
      </w:rPr>
    </w:lvl>
    <w:lvl w:ilvl="1" w:tplc="ED4E75CC" w:tentative="1">
      <w:start w:val="1"/>
      <w:numFmt w:val="lowerLetter"/>
      <w:lvlText w:val="%2."/>
      <w:lvlJc w:val="left"/>
      <w:pPr>
        <w:tabs>
          <w:tab w:val="num" w:pos="1440"/>
        </w:tabs>
        <w:ind w:left="1440" w:hanging="360"/>
      </w:pPr>
    </w:lvl>
    <w:lvl w:ilvl="2" w:tplc="7F008524" w:tentative="1">
      <w:start w:val="1"/>
      <w:numFmt w:val="lowerRoman"/>
      <w:lvlText w:val="%3."/>
      <w:lvlJc w:val="right"/>
      <w:pPr>
        <w:tabs>
          <w:tab w:val="num" w:pos="2160"/>
        </w:tabs>
        <w:ind w:left="2160" w:hanging="180"/>
      </w:pPr>
    </w:lvl>
    <w:lvl w:ilvl="3" w:tplc="1D9E7B14" w:tentative="1">
      <w:start w:val="1"/>
      <w:numFmt w:val="decimal"/>
      <w:lvlText w:val="%4."/>
      <w:lvlJc w:val="left"/>
      <w:pPr>
        <w:tabs>
          <w:tab w:val="num" w:pos="2880"/>
        </w:tabs>
        <w:ind w:left="2880" w:hanging="360"/>
      </w:pPr>
    </w:lvl>
    <w:lvl w:ilvl="4" w:tplc="5290F844" w:tentative="1">
      <w:start w:val="1"/>
      <w:numFmt w:val="lowerLetter"/>
      <w:lvlText w:val="%5."/>
      <w:lvlJc w:val="left"/>
      <w:pPr>
        <w:tabs>
          <w:tab w:val="num" w:pos="3600"/>
        </w:tabs>
        <w:ind w:left="3600" w:hanging="360"/>
      </w:pPr>
    </w:lvl>
    <w:lvl w:ilvl="5" w:tplc="DB108838" w:tentative="1">
      <w:start w:val="1"/>
      <w:numFmt w:val="lowerRoman"/>
      <w:lvlText w:val="%6."/>
      <w:lvlJc w:val="right"/>
      <w:pPr>
        <w:tabs>
          <w:tab w:val="num" w:pos="4320"/>
        </w:tabs>
        <w:ind w:left="4320" w:hanging="180"/>
      </w:pPr>
    </w:lvl>
    <w:lvl w:ilvl="6" w:tplc="4E0C8684" w:tentative="1">
      <w:start w:val="1"/>
      <w:numFmt w:val="decimal"/>
      <w:lvlText w:val="%7."/>
      <w:lvlJc w:val="left"/>
      <w:pPr>
        <w:tabs>
          <w:tab w:val="num" w:pos="5040"/>
        </w:tabs>
        <w:ind w:left="5040" w:hanging="360"/>
      </w:pPr>
    </w:lvl>
    <w:lvl w:ilvl="7" w:tplc="EECCC400" w:tentative="1">
      <w:start w:val="1"/>
      <w:numFmt w:val="lowerLetter"/>
      <w:lvlText w:val="%8."/>
      <w:lvlJc w:val="left"/>
      <w:pPr>
        <w:tabs>
          <w:tab w:val="num" w:pos="5760"/>
        </w:tabs>
        <w:ind w:left="5760" w:hanging="360"/>
      </w:pPr>
    </w:lvl>
    <w:lvl w:ilvl="8" w:tplc="B112A692" w:tentative="1">
      <w:start w:val="1"/>
      <w:numFmt w:val="lowerRoman"/>
      <w:lvlText w:val="%9."/>
      <w:lvlJc w:val="right"/>
      <w:pPr>
        <w:tabs>
          <w:tab w:val="num" w:pos="6480"/>
        </w:tabs>
        <w:ind w:left="6480" w:hanging="180"/>
      </w:pPr>
    </w:lvl>
  </w:abstractNum>
  <w:abstractNum w:abstractNumId="9" w15:restartNumberingAfterBreak="0">
    <w:nsid w:val="75D12A89"/>
    <w:multiLevelType w:val="hybridMultilevel"/>
    <w:tmpl w:val="D5F4B28E"/>
    <w:lvl w:ilvl="0" w:tplc="800CD798">
      <w:start w:val="1"/>
      <w:numFmt w:val="bullet"/>
      <w:pStyle w:val="BulletDouble"/>
      <w:lvlText w:val=""/>
      <w:lvlJc w:val="left"/>
      <w:pPr>
        <w:tabs>
          <w:tab w:val="num" w:pos="1701"/>
        </w:tabs>
        <w:ind w:left="1701" w:hanging="567"/>
      </w:pPr>
      <w:rPr>
        <w:rFonts w:ascii="Symbol" w:hAnsi="Symbol" w:hint="default"/>
        <w:color w:val="auto"/>
      </w:rPr>
    </w:lvl>
    <w:lvl w:ilvl="1" w:tplc="86BA0D2E" w:tentative="1">
      <w:start w:val="1"/>
      <w:numFmt w:val="bullet"/>
      <w:lvlText w:val="o"/>
      <w:lvlJc w:val="left"/>
      <w:pPr>
        <w:tabs>
          <w:tab w:val="num" w:pos="1440"/>
        </w:tabs>
        <w:ind w:left="1440" w:hanging="360"/>
      </w:pPr>
      <w:rPr>
        <w:rFonts w:ascii="Courier New" w:hAnsi="Courier New" w:cs="Courier New" w:hint="default"/>
      </w:rPr>
    </w:lvl>
    <w:lvl w:ilvl="2" w:tplc="12A491C8" w:tentative="1">
      <w:start w:val="1"/>
      <w:numFmt w:val="bullet"/>
      <w:lvlText w:val=""/>
      <w:lvlJc w:val="left"/>
      <w:pPr>
        <w:tabs>
          <w:tab w:val="num" w:pos="2160"/>
        </w:tabs>
        <w:ind w:left="2160" w:hanging="360"/>
      </w:pPr>
      <w:rPr>
        <w:rFonts w:ascii="Wingdings" w:hAnsi="Wingdings" w:hint="default"/>
      </w:rPr>
    </w:lvl>
    <w:lvl w:ilvl="3" w:tplc="1FC4F6B2" w:tentative="1">
      <w:start w:val="1"/>
      <w:numFmt w:val="bullet"/>
      <w:lvlText w:val=""/>
      <w:lvlJc w:val="left"/>
      <w:pPr>
        <w:tabs>
          <w:tab w:val="num" w:pos="2880"/>
        </w:tabs>
        <w:ind w:left="2880" w:hanging="360"/>
      </w:pPr>
      <w:rPr>
        <w:rFonts w:ascii="Symbol" w:hAnsi="Symbol" w:hint="default"/>
      </w:rPr>
    </w:lvl>
    <w:lvl w:ilvl="4" w:tplc="8EA0FEF4" w:tentative="1">
      <w:start w:val="1"/>
      <w:numFmt w:val="bullet"/>
      <w:lvlText w:val="o"/>
      <w:lvlJc w:val="left"/>
      <w:pPr>
        <w:tabs>
          <w:tab w:val="num" w:pos="3600"/>
        </w:tabs>
        <w:ind w:left="3600" w:hanging="360"/>
      </w:pPr>
      <w:rPr>
        <w:rFonts w:ascii="Courier New" w:hAnsi="Courier New" w:cs="Courier New" w:hint="default"/>
      </w:rPr>
    </w:lvl>
    <w:lvl w:ilvl="5" w:tplc="8E9EB234" w:tentative="1">
      <w:start w:val="1"/>
      <w:numFmt w:val="bullet"/>
      <w:lvlText w:val=""/>
      <w:lvlJc w:val="left"/>
      <w:pPr>
        <w:tabs>
          <w:tab w:val="num" w:pos="4320"/>
        </w:tabs>
        <w:ind w:left="4320" w:hanging="360"/>
      </w:pPr>
      <w:rPr>
        <w:rFonts w:ascii="Wingdings" w:hAnsi="Wingdings" w:hint="default"/>
      </w:rPr>
    </w:lvl>
    <w:lvl w:ilvl="6" w:tplc="1F58E068" w:tentative="1">
      <w:start w:val="1"/>
      <w:numFmt w:val="bullet"/>
      <w:lvlText w:val=""/>
      <w:lvlJc w:val="left"/>
      <w:pPr>
        <w:tabs>
          <w:tab w:val="num" w:pos="5040"/>
        </w:tabs>
        <w:ind w:left="5040" w:hanging="360"/>
      </w:pPr>
      <w:rPr>
        <w:rFonts w:ascii="Symbol" w:hAnsi="Symbol" w:hint="default"/>
      </w:rPr>
    </w:lvl>
    <w:lvl w:ilvl="7" w:tplc="B1BAB922" w:tentative="1">
      <w:start w:val="1"/>
      <w:numFmt w:val="bullet"/>
      <w:lvlText w:val="o"/>
      <w:lvlJc w:val="left"/>
      <w:pPr>
        <w:tabs>
          <w:tab w:val="num" w:pos="5760"/>
        </w:tabs>
        <w:ind w:left="5760" w:hanging="360"/>
      </w:pPr>
      <w:rPr>
        <w:rFonts w:ascii="Courier New" w:hAnsi="Courier New" w:cs="Courier New" w:hint="default"/>
      </w:rPr>
    </w:lvl>
    <w:lvl w:ilvl="8" w:tplc="E67E093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D31186D"/>
    <w:multiLevelType w:val="hybridMultilevel"/>
    <w:tmpl w:val="A3B4E3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E7B0D69"/>
    <w:multiLevelType w:val="multilevel"/>
    <w:tmpl w:val="8B2EC4BE"/>
    <w:lvl w:ilvl="0">
      <w:start w:val="1"/>
      <w:numFmt w:val="decimal"/>
      <w:pStyle w:val="Recommendation"/>
      <w:lvlText w:val="Recommendation %1:"/>
      <w:lvlJc w:val="left"/>
      <w:pPr>
        <w:tabs>
          <w:tab w:val="num" w:pos="3969"/>
        </w:tabs>
        <w:ind w:left="0" w:firstLine="0"/>
      </w:pPr>
      <w:rPr>
        <w:rFonts w:ascii="Tahoma" w:hAnsi="Tahoma" w:cs="Times New Roman" w:hint="default"/>
        <w:sz w:val="20"/>
      </w:rPr>
    </w:lvl>
    <w:lvl w:ilvl="1">
      <w:start w:val="1"/>
      <w:numFmt w:val="lowerLetter"/>
      <w:pStyle w:val="Recommendation"/>
      <w:lvlText w:val="%2."/>
      <w:lvlJc w:val="left"/>
      <w:pPr>
        <w:ind w:left="1440" w:hanging="360"/>
      </w:pPr>
    </w:lvl>
    <w:lvl w:ilvl="2">
      <w:start w:val="1"/>
      <w:numFmt w:val="lowerRoman"/>
      <w:pStyle w:val="Recommendation"/>
      <w:lvlText w:val="%3."/>
      <w:lvlJc w:val="right"/>
      <w:pPr>
        <w:ind w:left="2160" w:hanging="180"/>
      </w:pPr>
    </w:lvl>
    <w:lvl w:ilvl="3">
      <w:start w:val="1"/>
      <w:numFmt w:val="decimal"/>
      <w:pStyle w:val="Recommendation"/>
      <w:lvlText w:val="%4."/>
      <w:lvlJc w:val="left"/>
      <w:pPr>
        <w:ind w:left="2880" w:hanging="360"/>
      </w:pPr>
    </w:lvl>
    <w:lvl w:ilvl="4">
      <w:start w:val="1"/>
      <w:numFmt w:val="lowerLetter"/>
      <w:pStyle w:val="Recommendation"/>
      <w:lvlText w:val="%5."/>
      <w:lvlJc w:val="left"/>
      <w:pPr>
        <w:ind w:left="3600" w:hanging="360"/>
      </w:pPr>
    </w:lvl>
    <w:lvl w:ilvl="5">
      <w:start w:val="1"/>
      <w:numFmt w:val="lowerRoman"/>
      <w:pStyle w:val="Recommendation"/>
      <w:lvlText w:val="%6."/>
      <w:lvlJc w:val="right"/>
      <w:pPr>
        <w:ind w:left="4320" w:hanging="180"/>
      </w:pPr>
    </w:lvl>
    <w:lvl w:ilvl="6">
      <w:start w:val="1"/>
      <w:numFmt w:val="decimal"/>
      <w:pStyle w:val="Recommendation"/>
      <w:lvlText w:val="%7."/>
      <w:lvlJc w:val="left"/>
      <w:pPr>
        <w:ind w:left="5040" w:hanging="360"/>
      </w:pPr>
    </w:lvl>
    <w:lvl w:ilvl="7">
      <w:start w:val="1"/>
      <w:numFmt w:val="lowerLetter"/>
      <w:pStyle w:val="Recommendation"/>
      <w:lvlText w:val="%8."/>
      <w:lvlJc w:val="left"/>
      <w:pPr>
        <w:ind w:left="5760" w:hanging="360"/>
      </w:pPr>
    </w:lvl>
    <w:lvl w:ilvl="8">
      <w:start w:val="1"/>
      <w:numFmt w:val="lowerRoman"/>
      <w:pStyle w:val="Recommendation"/>
      <w:lvlText w:val="%9."/>
      <w:lvlJc w:val="right"/>
      <w:pPr>
        <w:ind w:left="6480" w:hanging="180"/>
      </w:pPr>
    </w:lvl>
  </w:abstractNum>
  <w:num w:numId="1">
    <w:abstractNumId w:val="6"/>
  </w:num>
  <w:num w:numId="2">
    <w:abstractNumId w:val="4"/>
  </w:num>
  <w:num w:numId="3">
    <w:abstractNumId w:val="5"/>
  </w:num>
  <w:num w:numId="4">
    <w:abstractNumId w:val="8"/>
  </w:num>
  <w:num w:numId="5">
    <w:abstractNumId w:val="9"/>
  </w:num>
  <w:num w:numId="6">
    <w:abstractNumId w:val="3"/>
  </w:num>
  <w:num w:numId="7">
    <w:abstractNumId w:val="11"/>
  </w:num>
  <w:num w:numId="8">
    <w:abstractNumId w:val="0"/>
  </w:num>
  <w:num w:numId="9">
    <w:abstractNumId w:val="8"/>
    <w:lvlOverride w:ilvl="0">
      <w:startOverride w:val="1"/>
    </w:lvlOverride>
  </w:num>
  <w:num w:numId="10">
    <w:abstractNumId w:val="1"/>
  </w:num>
  <w:num w:numId="11">
    <w:abstractNumId w:val="7"/>
  </w:num>
  <w:num w:numId="12">
    <w:abstractNumId w:val="2"/>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B65"/>
    <w:rsid w:val="00000CF4"/>
    <w:rsid w:val="000011D4"/>
    <w:rsid w:val="00001495"/>
    <w:rsid w:val="00005905"/>
    <w:rsid w:val="00006E53"/>
    <w:rsid w:val="000100B0"/>
    <w:rsid w:val="000108D9"/>
    <w:rsid w:val="00020B61"/>
    <w:rsid w:val="00022318"/>
    <w:rsid w:val="0002375E"/>
    <w:rsid w:val="0003151B"/>
    <w:rsid w:val="0003170A"/>
    <w:rsid w:val="00031A79"/>
    <w:rsid w:val="00031AA4"/>
    <w:rsid w:val="00036671"/>
    <w:rsid w:val="000420BB"/>
    <w:rsid w:val="000423AB"/>
    <w:rsid w:val="000428AE"/>
    <w:rsid w:val="00043C9E"/>
    <w:rsid w:val="000473B8"/>
    <w:rsid w:val="0005218C"/>
    <w:rsid w:val="00053669"/>
    <w:rsid w:val="000546B6"/>
    <w:rsid w:val="00055FD8"/>
    <w:rsid w:val="00057405"/>
    <w:rsid w:val="000613E5"/>
    <w:rsid w:val="000617E7"/>
    <w:rsid w:val="00062D39"/>
    <w:rsid w:val="000636D5"/>
    <w:rsid w:val="00064E74"/>
    <w:rsid w:val="00065B3E"/>
    <w:rsid w:val="00067628"/>
    <w:rsid w:val="0007231D"/>
    <w:rsid w:val="00072DC0"/>
    <w:rsid w:val="000737A4"/>
    <w:rsid w:val="00073F0A"/>
    <w:rsid w:val="00075ECF"/>
    <w:rsid w:val="0008281F"/>
    <w:rsid w:val="000849C2"/>
    <w:rsid w:val="00084BBA"/>
    <w:rsid w:val="00085FE4"/>
    <w:rsid w:val="000877E3"/>
    <w:rsid w:val="000908BB"/>
    <w:rsid w:val="00092EFD"/>
    <w:rsid w:val="00097D95"/>
    <w:rsid w:val="000A5003"/>
    <w:rsid w:val="000B0C62"/>
    <w:rsid w:val="000B1021"/>
    <w:rsid w:val="000B7C9B"/>
    <w:rsid w:val="000C0D14"/>
    <w:rsid w:val="000C3BA4"/>
    <w:rsid w:val="000D35EA"/>
    <w:rsid w:val="000D4F9A"/>
    <w:rsid w:val="000D5795"/>
    <w:rsid w:val="000D6DAA"/>
    <w:rsid w:val="000E1287"/>
    <w:rsid w:val="000E2938"/>
    <w:rsid w:val="000E4A23"/>
    <w:rsid w:val="000E55F7"/>
    <w:rsid w:val="000E6A22"/>
    <w:rsid w:val="000E7023"/>
    <w:rsid w:val="000F0C11"/>
    <w:rsid w:val="000F122D"/>
    <w:rsid w:val="000F2867"/>
    <w:rsid w:val="000F3238"/>
    <w:rsid w:val="000F585D"/>
    <w:rsid w:val="00104AF0"/>
    <w:rsid w:val="001060FB"/>
    <w:rsid w:val="00106BD7"/>
    <w:rsid w:val="001073D8"/>
    <w:rsid w:val="00107821"/>
    <w:rsid w:val="00113139"/>
    <w:rsid w:val="00113634"/>
    <w:rsid w:val="0011373F"/>
    <w:rsid w:val="00113F36"/>
    <w:rsid w:val="0011463A"/>
    <w:rsid w:val="00114D09"/>
    <w:rsid w:val="00115661"/>
    <w:rsid w:val="00116324"/>
    <w:rsid w:val="00120597"/>
    <w:rsid w:val="0012104F"/>
    <w:rsid w:val="00122DF6"/>
    <w:rsid w:val="001239BE"/>
    <w:rsid w:val="001277F7"/>
    <w:rsid w:val="0013090D"/>
    <w:rsid w:val="00130BE8"/>
    <w:rsid w:val="00131910"/>
    <w:rsid w:val="001418AA"/>
    <w:rsid w:val="00141942"/>
    <w:rsid w:val="001472A0"/>
    <w:rsid w:val="001579E9"/>
    <w:rsid w:val="00160DCE"/>
    <w:rsid w:val="00162108"/>
    <w:rsid w:val="0016335A"/>
    <w:rsid w:val="001655B6"/>
    <w:rsid w:val="0017137F"/>
    <w:rsid w:val="00172D60"/>
    <w:rsid w:val="0017494F"/>
    <w:rsid w:val="00176C10"/>
    <w:rsid w:val="00180BDA"/>
    <w:rsid w:val="0018190D"/>
    <w:rsid w:val="0018497D"/>
    <w:rsid w:val="00185BA8"/>
    <w:rsid w:val="00191F15"/>
    <w:rsid w:val="001928D5"/>
    <w:rsid w:val="001937B4"/>
    <w:rsid w:val="001A0326"/>
    <w:rsid w:val="001A1CC9"/>
    <w:rsid w:val="001A4FAE"/>
    <w:rsid w:val="001A63D6"/>
    <w:rsid w:val="001B2CC4"/>
    <w:rsid w:val="001B2EC4"/>
    <w:rsid w:val="001B4D58"/>
    <w:rsid w:val="001B540B"/>
    <w:rsid w:val="001B5B4F"/>
    <w:rsid w:val="001B7509"/>
    <w:rsid w:val="001C0877"/>
    <w:rsid w:val="001C2A62"/>
    <w:rsid w:val="001C2EF4"/>
    <w:rsid w:val="001C57B9"/>
    <w:rsid w:val="001C66BF"/>
    <w:rsid w:val="001C7AEC"/>
    <w:rsid w:val="001D15EF"/>
    <w:rsid w:val="001D3253"/>
    <w:rsid w:val="001D6A96"/>
    <w:rsid w:val="001D6B67"/>
    <w:rsid w:val="001E37BD"/>
    <w:rsid w:val="001E7092"/>
    <w:rsid w:val="001F3B6F"/>
    <w:rsid w:val="001F782A"/>
    <w:rsid w:val="001F7F84"/>
    <w:rsid w:val="00200790"/>
    <w:rsid w:val="002020F6"/>
    <w:rsid w:val="00203AF4"/>
    <w:rsid w:val="0020688C"/>
    <w:rsid w:val="00210104"/>
    <w:rsid w:val="00215EEA"/>
    <w:rsid w:val="0021611D"/>
    <w:rsid w:val="002164C9"/>
    <w:rsid w:val="002171C8"/>
    <w:rsid w:val="002314E4"/>
    <w:rsid w:val="00232967"/>
    <w:rsid w:val="002364B8"/>
    <w:rsid w:val="00245038"/>
    <w:rsid w:val="00245593"/>
    <w:rsid w:val="002473D0"/>
    <w:rsid w:val="00247704"/>
    <w:rsid w:val="002500DE"/>
    <w:rsid w:val="00250873"/>
    <w:rsid w:val="00250BAD"/>
    <w:rsid w:val="002512AA"/>
    <w:rsid w:val="00253943"/>
    <w:rsid w:val="00253BF2"/>
    <w:rsid w:val="002545F7"/>
    <w:rsid w:val="00257CF7"/>
    <w:rsid w:val="00260180"/>
    <w:rsid w:val="002619CD"/>
    <w:rsid w:val="002622B6"/>
    <w:rsid w:val="002664E1"/>
    <w:rsid w:val="00267416"/>
    <w:rsid w:val="00267DBD"/>
    <w:rsid w:val="00270D78"/>
    <w:rsid w:val="00273372"/>
    <w:rsid w:val="00273447"/>
    <w:rsid w:val="00274584"/>
    <w:rsid w:val="002802CB"/>
    <w:rsid w:val="002804FC"/>
    <w:rsid w:val="00281F6F"/>
    <w:rsid w:val="00282D3F"/>
    <w:rsid w:val="00283E9F"/>
    <w:rsid w:val="002864C1"/>
    <w:rsid w:val="002919EB"/>
    <w:rsid w:val="00292B1C"/>
    <w:rsid w:val="0029358A"/>
    <w:rsid w:val="00293A24"/>
    <w:rsid w:val="00293FE9"/>
    <w:rsid w:val="00297511"/>
    <w:rsid w:val="0029757C"/>
    <w:rsid w:val="00297627"/>
    <w:rsid w:val="002A0A2B"/>
    <w:rsid w:val="002A34D5"/>
    <w:rsid w:val="002A4CE5"/>
    <w:rsid w:val="002B23F5"/>
    <w:rsid w:val="002B5574"/>
    <w:rsid w:val="002B619F"/>
    <w:rsid w:val="002B6852"/>
    <w:rsid w:val="002C6900"/>
    <w:rsid w:val="002D2DDE"/>
    <w:rsid w:val="002D3CB9"/>
    <w:rsid w:val="002D4C53"/>
    <w:rsid w:val="002D547F"/>
    <w:rsid w:val="002D556E"/>
    <w:rsid w:val="002E0C2A"/>
    <w:rsid w:val="002E525D"/>
    <w:rsid w:val="002F00ED"/>
    <w:rsid w:val="002F2E97"/>
    <w:rsid w:val="002F3BB6"/>
    <w:rsid w:val="002F528D"/>
    <w:rsid w:val="002F5C4E"/>
    <w:rsid w:val="002F64A6"/>
    <w:rsid w:val="002F6F9A"/>
    <w:rsid w:val="002F731D"/>
    <w:rsid w:val="00300F0B"/>
    <w:rsid w:val="0030375C"/>
    <w:rsid w:val="0030399A"/>
    <w:rsid w:val="003068D3"/>
    <w:rsid w:val="00307DD3"/>
    <w:rsid w:val="003132CB"/>
    <w:rsid w:val="00313384"/>
    <w:rsid w:val="00314045"/>
    <w:rsid w:val="003147B9"/>
    <w:rsid w:val="003176C5"/>
    <w:rsid w:val="0032110C"/>
    <w:rsid w:val="00321419"/>
    <w:rsid w:val="00323B14"/>
    <w:rsid w:val="003252EE"/>
    <w:rsid w:val="00330C7E"/>
    <w:rsid w:val="00333478"/>
    <w:rsid w:val="00336070"/>
    <w:rsid w:val="00337DE9"/>
    <w:rsid w:val="00342033"/>
    <w:rsid w:val="00344F5A"/>
    <w:rsid w:val="00346108"/>
    <w:rsid w:val="0034768A"/>
    <w:rsid w:val="00347998"/>
    <w:rsid w:val="003506AD"/>
    <w:rsid w:val="00351EDC"/>
    <w:rsid w:val="00352645"/>
    <w:rsid w:val="00352FB3"/>
    <w:rsid w:val="003541B6"/>
    <w:rsid w:val="003546E9"/>
    <w:rsid w:val="00356947"/>
    <w:rsid w:val="00361F37"/>
    <w:rsid w:val="00371065"/>
    <w:rsid w:val="003725ED"/>
    <w:rsid w:val="0037720D"/>
    <w:rsid w:val="00380796"/>
    <w:rsid w:val="0038336A"/>
    <w:rsid w:val="00386647"/>
    <w:rsid w:val="00387D50"/>
    <w:rsid w:val="00391A58"/>
    <w:rsid w:val="00393DEA"/>
    <w:rsid w:val="00394F5B"/>
    <w:rsid w:val="00395A81"/>
    <w:rsid w:val="00396F27"/>
    <w:rsid w:val="003A0AC4"/>
    <w:rsid w:val="003A2E77"/>
    <w:rsid w:val="003A475D"/>
    <w:rsid w:val="003A54CE"/>
    <w:rsid w:val="003A55C1"/>
    <w:rsid w:val="003A57B0"/>
    <w:rsid w:val="003B0298"/>
    <w:rsid w:val="003B26C1"/>
    <w:rsid w:val="003B3AEE"/>
    <w:rsid w:val="003C4B2B"/>
    <w:rsid w:val="003C6ABC"/>
    <w:rsid w:val="003C6DD1"/>
    <w:rsid w:val="003C741A"/>
    <w:rsid w:val="003C7503"/>
    <w:rsid w:val="003C75FB"/>
    <w:rsid w:val="003D0E85"/>
    <w:rsid w:val="003D4491"/>
    <w:rsid w:val="003E0728"/>
    <w:rsid w:val="003E197F"/>
    <w:rsid w:val="003E2148"/>
    <w:rsid w:val="003E24B6"/>
    <w:rsid w:val="003E30A6"/>
    <w:rsid w:val="003E4003"/>
    <w:rsid w:val="003E7782"/>
    <w:rsid w:val="003F0081"/>
    <w:rsid w:val="003F3B59"/>
    <w:rsid w:val="003F50E3"/>
    <w:rsid w:val="003F6EE8"/>
    <w:rsid w:val="003F74FF"/>
    <w:rsid w:val="004002B6"/>
    <w:rsid w:val="00400ED0"/>
    <w:rsid w:val="00401016"/>
    <w:rsid w:val="0040141B"/>
    <w:rsid w:val="004015B4"/>
    <w:rsid w:val="0040165D"/>
    <w:rsid w:val="004023FC"/>
    <w:rsid w:val="00405C34"/>
    <w:rsid w:val="00406993"/>
    <w:rsid w:val="00414935"/>
    <w:rsid w:val="00431EA2"/>
    <w:rsid w:val="00433EAE"/>
    <w:rsid w:val="00435B75"/>
    <w:rsid w:val="004377DD"/>
    <w:rsid w:val="00441F23"/>
    <w:rsid w:val="00442652"/>
    <w:rsid w:val="00450143"/>
    <w:rsid w:val="00452369"/>
    <w:rsid w:val="0045356E"/>
    <w:rsid w:val="0045692E"/>
    <w:rsid w:val="00457B7E"/>
    <w:rsid w:val="00457BBD"/>
    <w:rsid w:val="004618F2"/>
    <w:rsid w:val="004630DE"/>
    <w:rsid w:val="0046761C"/>
    <w:rsid w:val="00471E5A"/>
    <w:rsid w:val="0047639C"/>
    <w:rsid w:val="00477C20"/>
    <w:rsid w:val="00485C09"/>
    <w:rsid w:val="00492ACD"/>
    <w:rsid w:val="00493589"/>
    <w:rsid w:val="00494205"/>
    <w:rsid w:val="0049462A"/>
    <w:rsid w:val="00495390"/>
    <w:rsid w:val="004979F9"/>
    <w:rsid w:val="00497D87"/>
    <w:rsid w:val="004A0E02"/>
    <w:rsid w:val="004A2845"/>
    <w:rsid w:val="004A3668"/>
    <w:rsid w:val="004A6C1E"/>
    <w:rsid w:val="004B0A7E"/>
    <w:rsid w:val="004B1BB5"/>
    <w:rsid w:val="004C0A31"/>
    <w:rsid w:val="004C3589"/>
    <w:rsid w:val="004C3C54"/>
    <w:rsid w:val="004C4B01"/>
    <w:rsid w:val="004D6AFE"/>
    <w:rsid w:val="004D6DCE"/>
    <w:rsid w:val="004E0127"/>
    <w:rsid w:val="004E0AAD"/>
    <w:rsid w:val="004E4785"/>
    <w:rsid w:val="004E503F"/>
    <w:rsid w:val="004E5A9D"/>
    <w:rsid w:val="004F08BA"/>
    <w:rsid w:val="004F3487"/>
    <w:rsid w:val="004F4204"/>
    <w:rsid w:val="004F5BD9"/>
    <w:rsid w:val="004F600C"/>
    <w:rsid w:val="0050492E"/>
    <w:rsid w:val="005059D9"/>
    <w:rsid w:val="0050717F"/>
    <w:rsid w:val="005167C1"/>
    <w:rsid w:val="005200E3"/>
    <w:rsid w:val="00523456"/>
    <w:rsid w:val="005247BC"/>
    <w:rsid w:val="005264E9"/>
    <w:rsid w:val="00526B1D"/>
    <w:rsid w:val="005326C5"/>
    <w:rsid w:val="00533F38"/>
    <w:rsid w:val="0053403D"/>
    <w:rsid w:val="00535A29"/>
    <w:rsid w:val="005413B7"/>
    <w:rsid w:val="00543682"/>
    <w:rsid w:val="0054789C"/>
    <w:rsid w:val="00554CD5"/>
    <w:rsid w:val="005551C1"/>
    <w:rsid w:val="005554E5"/>
    <w:rsid w:val="00556F42"/>
    <w:rsid w:val="005574E8"/>
    <w:rsid w:val="00560D5A"/>
    <w:rsid w:val="0056210E"/>
    <w:rsid w:val="005625F3"/>
    <w:rsid w:val="005650DA"/>
    <w:rsid w:val="0056544B"/>
    <w:rsid w:val="005669A4"/>
    <w:rsid w:val="0057260F"/>
    <w:rsid w:val="00575AE1"/>
    <w:rsid w:val="00582135"/>
    <w:rsid w:val="00582C21"/>
    <w:rsid w:val="00584540"/>
    <w:rsid w:val="005877B5"/>
    <w:rsid w:val="0059048A"/>
    <w:rsid w:val="00592E88"/>
    <w:rsid w:val="0059509C"/>
    <w:rsid w:val="00596F59"/>
    <w:rsid w:val="00597F19"/>
    <w:rsid w:val="005A1C68"/>
    <w:rsid w:val="005A2FA0"/>
    <w:rsid w:val="005A3E1F"/>
    <w:rsid w:val="005A7067"/>
    <w:rsid w:val="005A7DCA"/>
    <w:rsid w:val="005B5ED3"/>
    <w:rsid w:val="005B66F1"/>
    <w:rsid w:val="005C07DB"/>
    <w:rsid w:val="005C11CC"/>
    <w:rsid w:val="005C3E62"/>
    <w:rsid w:val="005C57B5"/>
    <w:rsid w:val="005C63CE"/>
    <w:rsid w:val="005C65DC"/>
    <w:rsid w:val="005C797A"/>
    <w:rsid w:val="005C7D1F"/>
    <w:rsid w:val="005D15E1"/>
    <w:rsid w:val="005D30B5"/>
    <w:rsid w:val="005D38E4"/>
    <w:rsid w:val="005D3B18"/>
    <w:rsid w:val="005E129D"/>
    <w:rsid w:val="005E1339"/>
    <w:rsid w:val="005E55E7"/>
    <w:rsid w:val="005F02FA"/>
    <w:rsid w:val="005F118C"/>
    <w:rsid w:val="005F274D"/>
    <w:rsid w:val="005F2DE7"/>
    <w:rsid w:val="005F3FFB"/>
    <w:rsid w:val="005F4A47"/>
    <w:rsid w:val="006019FB"/>
    <w:rsid w:val="0060641E"/>
    <w:rsid w:val="00607E4E"/>
    <w:rsid w:val="0061021E"/>
    <w:rsid w:val="00613293"/>
    <w:rsid w:val="00613C03"/>
    <w:rsid w:val="00616384"/>
    <w:rsid w:val="00621B30"/>
    <w:rsid w:val="0062331A"/>
    <w:rsid w:val="0062554C"/>
    <w:rsid w:val="006255EE"/>
    <w:rsid w:val="00626670"/>
    <w:rsid w:val="00627623"/>
    <w:rsid w:val="00633C51"/>
    <w:rsid w:val="00633E3E"/>
    <w:rsid w:val="00635066"/>
    <w:rsid w:val="00636192"/>
    <w:rsid w:val="0063687B"/>
    <w:rsid w:val="006418F1"/>
    <w:rsid w:val="00644F43"/>
    <w:rsid w:val="00653865"/>
    <w:rsid w:val="00653A79"/>
    <w:rsid w:val="0065503D"/>
    <w:rsid w:val="00657929"/>
    <w:rsid w:val="00660AEF"/>
    <w:rsid w:val="0066251E"/>
    <w:rsid w:val="00665989"/>
    <w:rsid w:val="006663C1"/>
    <w:rsid w:val="0067266E"/>
    <w:rsid w:val="00674834"/>
    <w:rsid w:val="006806F3"/>
    <w:rsid w:val="00683887"/>
    <w:rsid w:val="00684F06"/>
    <w:rsid w:val="00685BC2"/>
    <w:rsid w:val="00691512"/>
    <w:rsid w:val="00692A94"/>
    <w:rsid w:val="00693321"/>
    <w:rsid w:val="00694AF0"/>
    <w:rsid w:val="006954DE"/>
    <w:rsid w:val="00696B49"/>
    <w:rsid w:val="00697ECB"/>
    <w:rsid w:val="006A07E2"/>
    <w:rsid w:val="006A1980"/>
    <w:rsid w:val="006A2FD2"/>
    <w:rsid w:val="006A4139"/>
    <w:rsid w:val="006A5C3F"/>
    <w:rsid w:val="006A78C7"/>
    <w:rsid w:val="006B053F"/>
    <w:rsid w:val="006B375E"/>
    <w:rsid w:val="006B4502"/>
    <w:rsid w:val="006B5E5F"/>
    <w:rsid w:val="006C2748"/>
    <w:rsid w:val="006C2D13"/>
    <w:rsid w:val="006C5B71"/>
    <w:rsid w:val="006C5CD8"/>
    <w:rsid w:val="006D3BF8"/>
    <w:rsid w:val="006E5BB9"/>
    <w:rsid w:val="006E5E0A"/>
    <w:rsid w:val="006E60CE"/>
    <w:rsid w:val="006E7E9A"/>
    <w:rsid w:val="006E7F81"/>
    <w:rsid w:val="006F29B5"/>
    <w:rsid w:val="006F3A6A"/>
    <w:rsid w:val="006F3F6C"/>
    <w:rsid w:val="006F4C23"/>
    <w:rsid w:val="006F797F"/>
    <w:rsid w:val="006F7A36"/>
    <w:rsid w:val="00701416"/>
    <w:rsid w:val="00702DAD"/>
    <w:rsid w:val="00704A96"/>
    <w:rsid w:val="00705673"/>
    <w:rsid w:val="00706673"/>
    <w:rsid w:val="00710C59"/>
    <w:rsid w:val="00711245"/>
    <w:rsid w:val="00714042"/>
    <w:rsid w:val="007140BD"/>
    <w:rsid w:val="00714D4F"/>
    <w:rsid w:val="00715A7D"/>
    <w:rsid w:val="00715C2A"/>
    <w:rsid w:val="00720485"/>
    <w:rsid w:val="00721B57"/>
    <w:rsid w:val="00721B67"/>
    <w:rsid w:val="007264F0"/>
    <w:rsid w:val="007269D8"/>
    <w:rsid w:val="00737201"/>
    <w:rsid w:val="007411E1"/>
    <w:rsid w:val="007428A3"/>
    <w:rsid w:val="0074536C"/>
    <w:rsid w:val="007537C6"/>
    <w:rsid w:val="00757163"/>
    <w:rsid w:val="007610F1"/>
    <w:rsid w:val="00761D35"/>
    <w:rsid w:val="00764CCF"/>
    <w:rsid w:val="00765E1F"/>
    <w:rsid w:val="00772B68"/>
    <w:rsid w:val="00772BC4"/>
    <w:rsid w:val="00773C47"/>
    <w:rsid w:val="00775544"/>
    <w:rsid w:val="007762D3"/>
    <w:rsid w:val="00780F4C"/>
    <w:rsid w:val="00781EED"/>
    <w:rsid w:val="0078580E"/>
    <w:rsid w:val="007865DC"/>
    <w:rsid w:val="007874E4"/>
    <w:rsid w:val="00793121"/>
    <w:rsid w:val="00793B52"/>
    <w:rsid w:val="00795B6C"/>
    <w:rsid w:val="007A09E6"/>
    <w:rsid w:val="007A2219"/>
    <w:rsid w:val="007A24D6"/>
    <w:rsid w:val="007A3B49"/>
    <w:rsid w:val="007A7084"/>
    <w:rsid w:val="007B49E8"/>
    <w:rsid w:val="007B6448"/>
    <w:rsid w:val="007C33D4"/>
    <w:rsid w:val="007C501D"/>
    <w:rsid w:val="007D080E"/>
    <w:rsid w:val="007D1925"/>
    <w:rsid w:val="007D1A5D"/>
    <w:rsid w:val="007D4E71"/>
    <w:rsid w:val="007D5EBE"/>
    <w:rsid w:val="007D6A4C"/>
    <w:rsid w:val="007D6DA8"/>
    <w:rsid w:val="007D7C78"/>
    <w:rsid w:val="007D7E4C"/>
    <w:rsid w:val="007E0012"/>
    <w:rsid w:val="007E2DA9"/>
    <w:rsid w:val="007E44A3"/>
    <w:rsid w:val="007E681D"/>
    <w:rsid w:val="007E7EF0"/>
    <w:rsid w:val="007F03FA"/>
    <w:rsid w:val="007F0E01"/>
    <w:rsid w:val="007F2BF2"/>
    <w:rsid w:val="007F3C2E"/>
    <w:rsid w:val="007F3C77"/>
    <w:rsid w:val="007F5B92"/>
    <w:rsid w:val="007F67CB"/>
    <w:rsid w:val="007F752B"/>
    <w:rsid w:val="00801096"/>
    <w:rsid w:val="008028BB"/>
    <w:rsid w:val="00803F84"/>
    <w:rsid w:val="0080702F"/>
    <w:rsid w:val="00807734"/>
    <w:rsid w:val="008112BF"/>
    <w:rsid w:val="008113B4"/>
    <w:rsid w:val="008122AD"/>
    <w:rsid w:val="00813361"/>
    <w:rsid w:val="00815AD0"/>
    <w:rsid w:val="00815CBD"/>
    <w:rsid w:val="008177EB"/>
    <w:rsid w:val="00825E70"/>
    <w:rsid w:val="00827024"/>
    <w:rsid w:val="008313BC"/>
    <w:rsid w:val="00831D5C"/>
    <w:rsid w:val="00832035"/>
    <w:rsid w:val="00834BF5"/>
    <w:rsid w:val="00835446"/>
    <w:rsid w:val="008360C8"/>
    <w:rsid w:val="00841B3B"/>
    <w:rsid w:val="00841D49"/>
    <w:rsid w:val="0084335A"/>
    <w:rsid w:val="008435A0"/>
    <w:rsid w:val="008445A0"/>
    <w:rsid w:val="008468BA"/>
    <w:rsid w:val="00847EF0"/>
    <w:rsid w:val="00854105"/>
    <w:rsid w:val="00856A24"/>
    <w:rsid w:val="00856AC2"/>
    <w:rsid w:val="00860AA2"/>
    <w:rsid w:val="00861CCB"/>
    <w:rsid w:val="00862422"/>
    <w:rsid w:val="00863B15"/>
    <w:rsid w:val="00865282"/>
    <w:rsid w:val="00865857"/>
    <w:rsid w:val="008674BA"/>
    <w:rsid w:val="008678DA"/>
    <w:rsid w:val="00872B8E"/>
    <w:rsid w:val="00873AF9"/>
    <w:rsid w:val="00874C0E"/>
    <w:rsid w:val="00875A27"/>
    <w:rsid w:val="008763E0"/>
    <w:rsid w:val="008773E7"/>
    <w:rsid w:val="00882AE5"/>
    <w:rsid w:val="00882E6F"/>
    <w:rsid w:val="0088605A"/>
    <w:rsid w:val="008912B2"/>
    <w:rsid w:val="00891336"/>
    <w:rsid w:val="00892D70"/>
    <w:rsid w:val="00893008"/>
    <w:rsid w:val="008954B7"/>
    <w:rsid w:val="00895FC2"/>
    <w:rsid w:val="008A4A10"/>
    <w:rsid w:val="008A5284"/>
    <w:rsid w:val="008A5D78"/>
    <w:rsid w:val="008A5FA7"/>
    <w:rsid w:val="008A6B02"/>
    <w:rsid w:val="008A771A"/>
    <w:rsid w:val="008A785A"/>
    <w:rsid w:val="008A7DB3"/>
    <w:rsid w:val="008B156B"/>
    <w:rsid w:val="008B1850"/>
    <w:rsid w:val="008B22DA"/>
    <w:rsid w:val="008B6161"/>
    <w:rsid w:val="008B700E"/>
    <w:rsid w:val="008C141B"/>
    <w:rsid w:val="008C373A"/>
    <w:rsid w:val="008C6BE2"/>
    <w:rsid w:val="008D1C22"/>
    <w:rsid w:val="008D542D"/>
    <w:rsid w:val="008D6919"/>
    <w:rsid w:val="008D6B91"/>
    <w:rsid w:val="008D7A72"/>
    <w:rsid w:val="008E2CB1"/>
    <w:rsid w:val="008E303A"/>
    <w:rsid w:val="008E3A55"/>
    <w:rsid w:val="008E43CC"/>
    <w:rsid w:val="008F20F6"/>
    <w:rsid w:val="008F2269"/>
    <w:rsid w:val="008F2884"/>
    <w:rsid w:val="008F6011"/>
    <w:rsid w:val="008F71D6"/>
    <w:rsid w:val="009004D4"/>
    <w:rsid w:val="009028BF"/>
    <w:rsid w:val="009056A6"/>
    <w:rsid w:val="0091057E"/>
    <w:rsid w:val="00912050"/>
    <w:rsid w:val="00914128"/>
    <w:rsid w:val="00914945"/>
    <w:rsid w:val="00915732"/>
    <w:rsid w:val="009207B2"/>
    <w:rsid w:val="0092270A"/>
    <w:rsid w:val="00922B35"/>
    <w:rsid w:val="0092400E"/>
    <w:rsid w:val="00924921"/>
    <w:rsid w:val="00925E3B"/>
    <w:rsid w:val="00926B6B"/>
    <w:rsid w:val="00927A90"/>
    <w:rsid w:val="00934189"/>
    <w:rsid w:val="00944748"/>
    <w:rsid w:val="00956A70"/>
    <w:rsid w:val="009578B5"/>
    <w:rsid w:val="00957BE3"/>
    <w:rsid w:val="009604E4"/>
    <w:rsid w:val="00961605"/>
    <w:rsid w:val="00962EF4"/>
    <w:rsid w:val="00965A84"/>
    <w:rsid w:val="00965AA5"/>
    <w:rsid w:val="00973A5E"/>
    <w:rsid w:val="009801AF"/>
    <w:rsid w:val="00983AC1"/>
    <w:rsid w:val="0098595E"/>
    <w:rsid w:val="00985CB5"/>
    <w:rsid w:val="0099452E"/>
    <w:rsid w:val="009946C6"/>
    <w:rsid w:val="00994AA7"/>
    <w:rsid w:val="00995A7A"/>
    <w:rsid w:val="009A219E"/>
    <w:rsid w:val="009A316E"/>
    <w:rsid w:val="009A43D3"/>
    <w:rsid w:val="009A53DB"/>
    <w:rsid w:val="009A6280"/>
    <w:rsid w:val="009A6678"/>
    <w:rsid w:val="009A6E66"/>
    <w:rsid w:val="009A6F41"/>
    <w:rsid w:val="009B3CAF"/>
    <w:rsid w:val="009B4118"/>
    <w:rsid w:val="009B6A4D"/>
    <w:rsid w:val="009C0134"/>
    <w:rsid w:val="009C1051"/>
    <w:rsid w:val="009C13AB"/>
    <w:rsid w:val="009C4018"/>
    <w:rsid w:val="009D00B5"/>
    <w:rsid w:val="009D0440"/>
    <w:rsid w:val="009D2BF4"/>
    <w:rsid w:val="009D3B31"/>
    <w:rsid w:val="009D73F5"/>
    <w:rsid w:val="009E33E2"/>
    <w:rsid w:val="009E4260"/>
    <w:rsid w:val="009E50CC"/>
    <w:rsid w:val="009F3DF8"/>
    <w:rsid w:val="009F3E94"/>
    <w:rsid w:val="009F5834"/>
    <w:rsid w:val="009F5B2B"/>
    <w:rsid w:val="009F768D"/>
    <w:rsid w:val="00A00D4F"/>
    <w:rsid w:val="00A03786"/>
    <w:rsid w:val="00A07A99"/>
    <w:rsid w:val="00A127D5"/>
    <w:rsid w:val="00A158EC"/>
    <w:rsid w:val="00A15EBC"/>
    <w:rsid w:val="00A168FC"/>
    <w:rsid w:val="00A17F2C"/>
    <w:rsid w:val="00A205CF"/>
    <w:rsid w:val="00A20A14"/>
    <w:rsid w:val="00A237E4"/>
    <w:rsid w:val="00A24C42"/>
    <w:rsid w:val="00A24C4C"/>
    <w:rsid w:val="00A2595E"/>
    <w:rsid w:val="00A262CA"/>
    <w:rsid w:val="00A26E47"/>
    <w:rsid w:val="00A3404F"/>
    <w:rsid w:val="00A34A5D"/>
    <w:rsid w:val="00A350FA"/>
    <w:rsid w:val="00A36181"/>
    <w:rsid w:val="00A36BDE"/>
    <w:rsid w:val="00A3705B"/>
    <w:rsid w:val="00A40CF6"/>
    <w:rsid w:val="00A4382C"/>
    <w:rsid w:val="00A45308"/>
    <w:rsid w:val="00A45DD0"/>
    <w:rsid w:val="00A46067"/>
    <w:rsid w:val="00A46903"/>
    <w:rsid w:val="00A46E21"/>
    <w:rsid w:val="00A50A2C"/>
    <w:rsid w:val="00A52789"/>
    <w:rsid w:val="00A532BB"/>
    <w:rsid w:val="00A56A76"/>
    <w:rsid w:val="00A577F8"/>
    <w:rsid w:val="00A61242"/>
    <w:rsid w:val="00A71103"/>
    <w:rsid w:val="00A71DC7"/>
    <w:rsid w:val="00A72400"/>
    <w:rsid w:val="00A75954"/>
    <w:rsid w:val="00A75C4F"/>
    <w:rsid w:val="00A76322"/>
    <w:rsid w:val="00A76666"/>
    <w:rsid w:val="00A813FF"/>
    <w:rsid w:val="00A842CD"/>
    <w:rsid w:val="00A849C9"/>
    <w:rsid w:val="00A84F08"/>
    <w:rsid w:val="00A85BFE"/>
    <w:rsid w:val="00A871B4"/>
    <w:rsid w:val="00A9132B"/>
    <w:rsid w:val="00A91ABA"/>
    <w:rsid w:val="00A97A6E"/>
    <w:rsid w:val="00AA01FE"/>
    <w:rsid w:val="00AA40FC"/>
    <w:rsid w:val="00AA54A3"/>
    <w:rsid w:val="00AA5D59"/>
    <w:rsid w:val="00AA5FBE"/>
    <w:rsid w:val="00AB0977"/>
    <w:rsid w:val="00AB299C"/>
    <w:rsid w:val="00AB51CB"/>
    <w:rsid w:val="00AC4901"/>
    <w:rsid w:val="00AC5B53"/>
    <w:rsid w:val="00AC5BD2"/>
    <w:rsid w:val="00AD1A23"/>
    <w:rsid w:val="00AD26FD"/>
    <w:rsid w:val="00AD2EB1"/>
    <w:rsid w:val="00AD3878"/>
    <w:rsid w:val="00AD4C90"/>
    <w:rsid w:val="00AD4DF0"/>
    <w:rsid w:val="00AD51A0"/>
    <w:rsid w:val="00AD5EC6"/>
    <w:rsid w:val="00AD7698"/>
    <w:rsid w:val="00AE08E4"/>
    <w:rsid w:val="00AE7BAB"/>
    <w:rsid w:val="00AF22AF"/>
    <w:rsid w:val="00AF3060"/>
    <w:rsid w:val="00B03D8B"/>
    <w:rsid w:val="00B0476E"/>
    <w:rsid w:val="00B059B2"/>
    <w:rsid w:val="00B063CB"/>
    <w:rsid w:val="00B109E9"/>
    <w:rsid w:val="00B11B92"/>
    <w:rsid w:val="00B2100C"/>
    <w:rsid w:val="00B2278A"/>
    <w:rsid w:val="00B227B4"/>
    <w:rsid w:val="00B339E1"/>
    <w:rsid w:val="00B342F6"/>
    <w:rsid w:val="00B4586B"/>
    <w:rsid w:val="00B45962"/>
    <w:rsid w:val="00B46960"/>
    <w:rsid w:val="00B5741E"/>
    <w:rsid w:val="00B610FE"/>
    <w:rsid w:val="00B62CEB"/>
    <w:rsid w:val="00B637D6"/>
    <w:rsid w:val="00B63B7C"/>
    <w:rsid w:val="00B642FF"/>
    <w:rsid w:val="00B64A1E"/>
    <w:rsid w:val="00B70382"/>
    <w:rsid w:val="00B70429"/>
    <w:rsid w:val="00B7131F"/>
    <w:rsid w:val="00B717CB"/>
    <w:rsid w:val="00B744FB"/>
    <w:rsid w:val="00B76BC6"/>
    <w:rsid w:val="00B802D6"/>
    <w:rsid w:val="00B806CF"/>
    <w:rsid w:val="00B80868"/>
    <w:rsid w:val="00B85203"/>
    <w:rsid w:val="00B85FDA"/>
    <w:rsid w:val="00B86721"/>
    <w:rsid w:val="00B86F86"/>
    <w:rsid w:val="00B87FBA"/>
    <w:rsid w:val="00B94001"/>
    <w:rsid w:val="00B95031"/>
    <w:rsid w:val="00B95D9C"/>
    <w:rsid w:val="00B97EE1"/>
    <w:rsid w:val="00BA3D6C"/>
    <w:rsid w:val="00BC0C79"/>
    <w:rsid w:val="00BC42EE"/>
    <w:rsid w:val="00BC789F"/>
    <w:rsid w:val="00BD40AA"/>
    <w:rsid w:val="00BD4BBB"/>
    <w:rsid w:val="00BD6FB1"/>
    <w:rsid w:val="00BD7F84"/>
    <w:rsid w:val="00BE021D"/>
    <w:rsid w:val="00BE0CC6"/>
    <w:rsid w:val="00BE42C2"/>
    <w:rsid w:val="00BE4915"/>
    <w:rsid w:val="00BE5BD7"/>
    <w:rsid w:val="00BF2BC7"/>
    <w:rsid w:val="00BF6F51"/>
    <w:rsid w:val="00C03744"/>
    <w:rsid w:val="00C04C7E"/>
    <w:rsid w:val="00C079B3"/>
    <w:rsid w:val="00C151A5"/>
    <w:rsid w:val="00C212F4"/>
    <w:rsid w:val="00C2316F"/>
    <w:rsid w:val="00C25941"/>
    <w:rsid w:val="00C31CE3"/>
    <w:rsid w:val="00C364B4"/>
    <w:rsid w:val="00C40E61"/>
    <w:rsid w:val="00C457CA"/>
    <w:rsid w:val="00C45A2E"/>
    <w:rsid w:val="00C45AB0"/>
    <w:rsid w:val="00C46135"/>
    <w:rsid w:val="00C50E4F"/>
    <w:rsid w:val="00C513ED"/>
    <w:rsid w:val="00C523A8"/>
    <w:rsid w:val="00C542DE"/>
    <w:rsid w:val="00C57709"/>
    <w:rsid w:val="00C57C1B"/>
    <w:rsid w:val="00C61C82"/>
    <w:rsid w:val="00C6369D"/>
    <w:rsid w:val="00C6545B"/>
    <w:rsid w:val="00C73D48"/>
    <w:rsid w:val="00C77A9A"/>
    <w:rsid w:val="00C8060B"/>
    <w:rsid w:val="00C80679"/>
    <w:rsid w:val="00C80B4A"/>
    <w:rsid w:val="00C82D6E"/>
    <w:rsid w:val="00C86050"/>
    <w:rsid w:val="00C90264"/>
    <w:rsid w:val="00C908E2"/>
    <w:rsid w:val="00C91A07"/>
    <w:rsid w:val="00C95731"/>
    <w:rsid w:val="00CA2E0F"/>
    <w:rsid w:val="00CA44BE"/>
    <w:rsid w:val="00CA73E1"/>
    <w:rsid w:val="00CB400E"/>
    <w:rsid w:val="00CB60E4"/>
    <w:rsid w:val="00CB63D7"/>
    <w:rsid w:val="00CB6D6A"/>
    <w:rsid w:val="00CB7379"/>
    <w:rsid w:val="00CC5FD6"/>
    <w:rsid w:val="00CC618E"/>
    <w:rsid w:val="00CD4BB4"/>
    <w:rsid w:val="00CD6794"/>
    <w:rsid w:val="00CD67ED"/>
    <w:rsid w:val="00CE01C9"/>
    <w:rsid w:val="00CE0EA6"/>
    <w:rsid w:val="00CE3F10"/>
    <w:rsid w:val="00CE52CA"/>
    <w:rsid w:val="00CE5E47"/>
    <w:rsid w:val="00CF2199"/>
    <w:rsid w:val="00CF2CB8"/>
    <w:rsid w:val="00D00240"/>
    <w:rsid w:val="00D03D75"/>
    <w:rsid w:val="00D03E9F"/>
    <w:rsid w:val="00D05713"/>
    <w:rsid w:val="00D112ED"/>
    <w:rsid w:val="00D13E16"/>
    <w:rsid w:val="00D14969"/>
    <w:rsid w:val="00D17C85"/>
    <w:rsid w:val="00D24078"/>
    <w:rsid w:val="00D259E1"/>
    <w:rsid w:val="00D272C1"/>
    <w:rsid w:val="00D32C30"/>
    <w:rsid w:val="00D33A7B"/>
    <w:rsid w:val="00D343C9"/>
    <w:rsid w:val="00D3481C"/>
    <w:rsid w:val="00D355BF"/>
    <w:rsid w:val="00D401A0"/>
    <w:rsid w:val="00D41202"/>
    <w:rsid w:val="00D44E1A"/>
    <w:rsid w:val="00D451AA"/>
    <w:rsid w:val="00D45CAB"/>
    <w:rsid w:val="00D46B65"/>
    <w:rsid w:val="00D50B8D"/>
    <w:rsid w:val="00D51158"/>
    <w:rsid w:val="00D51903"/>
    <w:rsid w:val="00D51FBB"/>
    <w:rsid w:val="00D5336F"/>
    <w:rsid w:val="00D666E5"/>
    <w:rsid w:val="00D66FC7"/>
    <w:rsid w:val="00D673BE"/>
    <w:rsid w:val="00D67B47"/>
    <w:rsid w:val="00D7250A"/>
    <w:rsid w:val="00D727A3"/>
    <w:rsid w:val="00D73032"/>
    <w:rsid w:val="00D73161"/>
    <w:rsid w:val="00D736C3"/>
    <w:rsid w:val="00D7383B"/>
    <w:rsid w:val="00D74658"/>
    <w:rsid w:val="00D778B8"/>
    <w:rsid w:val="00D812C5"/>
    <w:rsid w:val="00D83BE0"/>
    <w:rsid w:val="00D841A6"/>
    <w:rsid w:val="00D84E9E"/>
    <w:rsid w:val="00D93AEE"/>
    <w:rsid w:val="00D97515"/>
    <w:rsid w:val="00D978EE"/>
    <w:rsid w:val="00DA349F"/>
    <w:rsid w:val="00DA65BB"/>
    <w:rsid w:val="00DB2DE8"/>
    <w:rsid w:val="00DB6FE5"/>
    <w:rsid w:val="00DC1313"/>
    <w:rsid w:val="00DC268D"/>
    <w:rsid w:val="00DC6C25"/>
    <w:rsid w:val="00DD45B7"/>
    <w:rsid w:val="00DD4A91"/>
    <w:rsid w:val="00DD53C2"/>
    <w:rsid w:val="00DD646E"/>
    <w:rsid w:val="00DE268A"/>
    <w:rsid w:val="00DE4184"/>
    <w:rsid w:val="00DE6D67"/>
    <w:rsid w:val="00DE7083"/>
    <w:rsid w:val="00DE7B46"/>
    <w:rsid w:val="00DE7FB1"/>
    <w:rsid w:val="00DF033A"/>
    <w:rsid w:val="00DF2FD2"/>
    <w:rsid w:val="00DF58A4"/>
    <w:rsid w:val="00DF77A6"/>
    <w:rsid w:val="00E00CB6"/>
    <w:rsid w:val="00E03656"/>
    <w:rsid w:val="00E1060C"/>
    <w:rsid w:val="00E137F9"/>
    <w:rsid w:val="00E13A0A"/>
    <w:rsid w:val="00E144AD"/>
    <w:rsid w:val="00E14559"/>
    <w:rsid w:val="00E20E13"/>
    <w:rsid w:val="00E20E89"/>
    <w:rsid w:val="00E22C43"/>
    <w:rsid w:val="00E241A9"/>
    <w:rsid w:val="00E258C3"/>
    <w:rsid w:val="00E259CE"/>
    <w:rsid w:val="00E31E0F"/>
    <w:rsid w:val="00E3206D"/>
    <w:rsid w:val="00E334A7"/>
    <w:rsid w:val="00E36A25"/>
    <w:rsid w:val="00E36DDE"/>
    <w:rsid w:val="00E428F9"/>
    <w:rsid w:val="00E42C75"/>
    <w:rsid w:val="00E430BA"/>
    <w:rsid w:val="00E46815"/>
    <w:rsid w:val="00E469E5"/>
    <w:rsid w:val="00E530CB"/>
    <w:rsid w:val="00E5346A"/>
    <w:rsid w:val="00E56CA3"/>
    <w:rsid w:val="00E619CC"/>
    <w:rsid w:val="00E632DD"/>
    <w:rsid w:val="00E63CC2"/>
    <w:rsid w:val="00E649EB"/>
    <w:rsid w:val="00E7317B"/>
    <w:rsid w:val="00E733FD"/>
    <w:rsid w:val="00E73B6E"/>
    <w:rsid w:val="00E7589F"/>
    <w:rsid w:val="00E758A6"/>
    <w:rsid w:val="00E75F6C"/>
    <w:rsid w:val="00E833BA"/>
    <w:rsid w:val="00E84E56"/>
    <w:rsid w:val="00E853CE"/>
    <w:rsid w:val="00E9195E"/>
    <w:rsid w:val="00E9290F"/>
    <w:rsid w:val="00E9409A"/>
    <w:rsid w:val="00E96662"/>
    <w:rsid w:val="00E97D37"/>
    <w:rsid w:val="00EA69BC"/>
    <w:rsid w:val="00EA6B7D"/>
    <w:rsid w:val="00EA72AB"/>
    <w:rsid w:val="00EB0C68"/>
    <w:rsid w:val="00EB1EE5"/>
    <w:rsid w:val="00EB223B"/>
    <w:rsid w:val="00EB4621"/>
    <w:rsid w:val="00EC5123"/>
    <w:rsid w:val="00EC7367"/>
    <w:rsid w:val="00EC74AE"/>
    <w:rsid w:val="00EC7C87"/>
    <w:rsid w:val="00ED09AA"/>
    <w:rsid w:val="00ED15A2"/>
    <w:rsid w:val="00ED22A2"/>
    <w:rsid w:val="00ED6D5B"/>
    <w:rsid w:val="00EE3A8F"/>
    <w:rsid w:val="00EE3D56"/>
    <w:rsid w:val="00EE6497"/>
    <w:rsid w:val="00EE778D"/>
    <w:rsid w:val="00EF17C2"/>
    <w:rsid w:val="00EF33F7"/>
    <w:rsid w:val="00EF553F"/>
    <w:rsid w:val="00EF6CDB"/>
    <w:rsid w:val="00F009B1"/>
    <w:rsid w:val="00F02511"/>
    <w:rsid w:val="00F03AE3"/>
    <w:rsid w:val="00F0620F"/>
    <w:rsid w:val="00F06E16"/>
    <w:rsid w:val="00F1050B"/>
    <w:rsid w:val="00F10B12"/>
    <w:rsid w:val="00F10D04"/>
    <w:rsid w:val="00F11337"/>
    <w:rsid w:val="00F15941"/>
    <w:rsid w:val="00F21F06"/>
    <w:rsid w:val="00F22799"/>
    <w:rsid w:val="00F2303F"/>
    <w:rsid w:val="00F233F7"/>
    <w:rsid w:val="00F242E1"/>
    <w:rsid w:val="00F31BCC"/>
    <w:rsid w:val="00F31FC2"/>
    <w:rsid w:val="00F33A62"/>
    <w:rsid w:val="00F34750"/>
    <w:rsid w:val="00F34FB0"/>
    <w:rsid w:val="00F3586D"/>
    <w:rsid w:val="00F358B8"/>
    <w:rsid w:val="00F35904"/>
    <w:rsid w:val="00F408E1"/>
    <w:rsid w:val="00F4222F"/>
    <w:rsid w:val="00F43CBE"/>
    <w:rsid w:val="00F50EC3"/>
    <w:rsid w:val="00F5209D"/>
    <w:rsid w:val="00F668C6"/>
    <w:rsid w:val="00F700EC"/>
    <w:rsid w:val="00F73B10"/>
    <w:rsid w:val="00F7615F"/>
    <w:rsid w:val="00F76AE8"/>
    <w:rsid w:val="00F81DC2"/>
    <w:rsid w:val="00F87B9C"/>
    <w:rsid w:val="00F90D33"/>
    <w:rsid w:val="00F91D18"/>
    <w:rsid w:val="00F938AA"/>
    <w:rsid w:val="00F9553B"/>
    <w:rsid w:val="00F9777E"/>
    <w:rsid w:val="00FA1D1A"/>
    <w:rsid w:val="00FA2094"/>
    <w:rsid w:val="00FA40A5"/>
    <w:rsid w:val="00FA6800"/>
    <w:rsid w:val="00FA793A"/>
    <w:rsid w:val="00FB0728"/>
    <w:rsid w:val="00FB3089"/>
    <w:rsid w:val="00FB7EBA"/>
    <w:rsid w:val="00FC025C"/>
    <w:rsid w:val="00FC096E"/>
    <w:rsid w:val="00FC3876"/>
    <w:rsid w:val="00FD0B88"/>
    <w:rsid w:val="00FD111B"/>
    <w:rsid w:val="00FD3492"/>
    <w:rsid w:val="00FD66FC"/>
    <w:rsid w:val="00FD682A"/>
    <w:rsid w:val="00FD77AE"/>
    <w:rsid w:val="00FD7C4E"/>
    <w:rsid w:val="00FE238E"/>
    <w:rsid w:val="00FE3465"/>
    <w:rsid w:val="00FE56C1"/>
    <w:rsid w:val="00FF086C"/>
    <w:rsid w:val="00FF280F"/>
    <w:rsid w:val="00FF3B24"/>
    <w:rsid w:val="00FF3C3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1"/>
    </o:shapelayout>
  </w:shapeDefaults>
  <w:decimalSymbol w:val="."/>
  <w:listSeparator w:val=","/>
  <w15:docId w15:val="{28436F0D-5BED-49E6-B71A-BB402CC7E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D09"/>
    <w:pPr>
      <w:spacing w:before="120" w:after="120"/>
    </w:pPr>
    <w:rPr>
      <w:rFonts w:ascii="Tahoma" w:hAnsi="Tahoma"/>
      <w:sz w:val="22"/>
      <w:szCs w:val="24"/>
      <w:lang w:val="en-GB" w:eastAsia="en-GB"/>
    </w:rPr>
  </w:style>
  <w:style w:type="paragraph" w:styleId="Heading1">
    <w:name w:val="heading 1"/>
    <w:basedOn w:val="Normal"/>
    <w:next w:val="NumberedPara"/>
    <w:link w:val="Heading1Char"/>
    <w:qFormat/>
    <w:rsid w:val="00804401"/>
    <w:pPr>
      <w:keepNext/>
      <w:pageBreakBefore/>
      <w:numPr>
        <w:numId w:val="1"/>
      </w:numPr>
      <w:spacing w:before="240" w:after="60"/>
      <w:outlineLvl w:val="0"/>
    </w:pPr>
    <w:rPr>
      <w:rFonts w:cs="Arial"/>
      <w:b/>
      <w:bCs/>
      <w:color w:val="2E74B5"/>
      <w:kern w:val="32"/>
      <w:sz w:val="40"/>
      <w:szCs w:val="32"/>
    </w:rPr>
  </w:style>
  <w:style w:type="paragraph" w:styleId="Heading2">
    <w:name w:val="heading 2"/>
    <w:basedOn w:val="Normal"/>
    <w:next w:val="NumberedPara"/>
    <w:qFormat/>
    <w:rsid w:val="00804401"/>
    <w:pPr>
      <w:keepNext/>
      <w:numPr>
        <w:ilvl w:val="1"/>
        <w:numId w:val="1"/>
      </w:numPr>
      <w:spacing w:before="240" w:after="240"/>
      <w:outlineLvl w:val="1"/>
    </w:pPr>
    <w:rPr>
      <w:rFonts w:cs="Arial"/>
      <w:b/>
      <w:bCs/>
      <w:iCs/>
      <w:color w:val="9CC2E5"/>
      <w:sz w:val="32"/>
      <w:szCs w:val="28"/>
    </w:rPr>
  </w:style>
  <w:style w:type="paragraph" w:styleId="Heading3">
    <w:name w:val="heading 3"/>
    <w:basedOn w:val="Normal"/>
    <w:next w:val="NumberedPara"/>
    <w:qFormat/>
    <w:rsid w:val="003E60E6"/>
    <w:pPr>
      <w:keepNext/>
      <w:numPr>
        <w:ilvl w:val="2"/>
        <w:numId w:val="1"/>
      </w:numPr>
      <w:spacing w:before="240" w:after="240"/>
      <w:outlineLvl w:val="2"/>
    </w:pPr>
    <w:rPr>
      <w:rFonts w:ascii="Arial Narrow" w:hAnsi="Arial Narrow" w:cs="Arial"/>
      <w:b/>
      <w:bCs/>
      <w:sz w:val="24"/>
      <w:szCs w:val="26"/>
    </w:rPr>
  </w:style>
  <w:style w:type="paragraph" w:styleId="Heading4">
    <w:name w:val="heading 4"/>
    <w:basedOn w:val="Normal"/>
    <w:next w:val="NumberedPara"/>
    <w:link w:val="Heading4Char"/>
    <w:qFormat/>
    <w:rsid w:val="009D3CDE"/>
    <w:pPr>
      <w:keepNext/>
      <w:spacing w:before="240" w:after="60"/>
      <w:outlineLvl w:val="3"/>
    </w:pPr>
    <w:rPr>
      <w:b/>
      <w:bCs/>
      <w:szCs w:val="28"/>
    </w:rPr>
  </w:style>
  <w:style w:type="paragraph" w:styleId="Heading5">
    <w:name w:val="heading 5"/>
    <w:basedOn w:val="Normal"/>
    <w:next w:val="Normal"/>
    <w:link w:val="Heading5Char"/>
    <w:qFormat/>
    <w:rsid w:val="00AB109D"/>
    <w:pPr>
      <w:tabs>
        <w:tab w:val="num" w:pos="3200"/>
      </w:tabs>
      <w:spacing w:before="240" w:after="60"/>
      <w:ind w:left="2840"/>
      <w:outlineLvl w:val="4"/>
    </w:pPr>
    <w:rPr>
      <w:rFonts w:ascii="Calibri" w:hAnsi="Calibri"/>
      <w:b/>
      <w:bCs/>
      <w:i/>
      <w:iCs/>
      <w:sz w:val="26"/>
      <w:szCs w:val="26"/>
    </w:rPr>
  </w:style>
  <w:style w:type="paragraph" w:styleId="Heading6">
    <w:name w:val="heading 6"/>
    <w:basedOn w:val="Normal"/>
    <w:next w:val="Normal"/>
    <w:link w:val="Heading6Char"/>
    <w:rsid w:val="00AB109D"/>
    <w:pPr>
      <w:tabs>
        <w:tab w:val="num" w:pos="3920"/>
      </w:tabs>
      <w:spacing w:before="240" w:after="60"/>
      <w:ind w:left="3560"/>
      <w:outlineLvl w:val="5"/>
    </w:pPr>
    <w:rPr>
      <w:rFonts w:ascii="Times New Roman" w:hAnsi="Times New Roman"/>
      <w:b/>
      <w:bCs/>
      <w:szCs w:val="22"/>
    </w:rPr>
  </w:style>
  <w:style w:type="paragraph" w:styleId="Heading7">
    <w:name w:val="heading 7"/>
    <w:basedOn w:val="Normal"/>
    <w:next w:val="Normal"/>
    <w:link w:val="Heading7Char"/>
    <w:rsid w:val="00AB109D"/>
    <w:pPr>
      <w:tabs>
        <w:tab w:val="num" w:pos="4640"/>
      </w:tabs>
      <w:spacing w:before="240" w:after="60"/>
      <w:ind w:left="4280"/>
      <w:outlineLvl w:val="6"/>
    </w:pPr>
    <w:rPr>
      <w:rFonts w:ascii="Times New Roman" w:hAnsi="Times New Roman"/>
      <w:sz w:val="20"/>
    </w:rPr>
  </w:style>
  <w:style w:type="paragraph" w:styleId="Heading8">
    <w:name w:val="heading 8"/>
    <w:basedOn w:val="Normal"/>
    <w:next w:val="Normal"/>
    <w:link w:val="Heading8Char"/>
    <w:rsid w:val="00AB109D"/>
    <w:pPr>
      <w:tabs>
        <w:tab w:val="num" w:pos="5360"/>
      </w:tabs>
      <w:spacing w:before="240" w:after="60"/>
      <w:ind w:left="5000"/>
      <w:outlineLvl w:val="7"/>
    </w:pPr>
    <w:rPr>
      <w:rFonts w:ascii="Times New Roman" w:hAnsi="Times New Roman"/>
      <w:i/>
      <w:iCs/>
      <w:sz w:val="20"/>
    </w:rPr>
  </w:style>
  <w:style w:type="paragraph" w:styleId="Heading9">
    <w:name w:val="heading 9"/>
    <w:basedOn w:val="Normal"/>
    <w:next w:val="Normal"/>
    <w:link w:val="Heading9Char"/>
    <w:rsid w:val="00AB109D"/>
    <w:pPr>
      <w:tabs>
        <w:tab w:val="num" w:pos="6080"/>
      </w:tabs>
      <w:spacing w:before="240" w:after="60"/>
      <w:ind w:left="572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Para">
    <w:name w:val="Numbered Para"/>
    <w:basedOn w:val="Normal"/>
    <w:qFormat/>
    <w:rsid w:val="0063215C"/>
    <w:pPr>
      <w:numPr>
        <w:numId w:val="3"/>
      </w:numPr>
      <w:spacing w:after="60"/>
      <w:jc w:val="both"/>
    </w:pPr>
  </w:style>
  <w:style w:type="paragraph" w:customStyle="1" w:styleId="Bullet">
    <w:name w:val="Bullet"/>
    <w:basedOn w:val="Normal"/>
    <w:qFormat/>
    <w:rsid w:val="00BD1A53"/>
    <w:pPr>
      <w:numPr>
        <w:numId w:val="2"/>
      </w:numPr>
      <w:spacing w:after="60"/>
    </w:pPr>
  </w:style>
  <w:style w:type="paragraph" w:customStyle="1" w:styleId="NumberedBullet">
    <w:name w:val="Numbered Bullet"/>
    <w:basedOn w:val="Normal"/>
    <w:qFormat/>
    <w:rsid w:val="00AA3C1F"/>
    <w:pPr>
      <w:numPr>
        <w:numId w:val="4"/>
      </w:numPr>
      <w:spacing w:after="60"/>
    </w:pPr>
  </w:style>
  <w:style w:type="paragraph" w:customStyle="1" w:styleId="BulletDouble">
    <w:name w:val="Bullet Double"/>
    <w:basedOn w:val="Normal"/>
    <w:qFormat/>
    <w:rsid w:val="00AA3C1F"/>
    <w:pPr>
      <w:numPr>
        <w:numId w:val="5"/>
      </w:numPr>
    </w:pPr>
  </w:style>
  <w:style w:type="paragraph" w:customStyle="1" w:styleId="Leader">
    <w:name w:val="Leader"/>
    <w:basedOn w:val="Normal"/>
    <w:link w:val="LeaderChar"/>
    <w:rsid w:val="00AA3C1F"/>
    <w:pPr>
      <w:spacing w:after="240"/>
      <w:jc w:val="center"/>
    </w:pPr>
    <w:rPr>
      <w:b/>
      <w:sz w:val="40"/>
    </w:rPr>
  </w:style>
  <w:style w:type="paragraph" w:styleId="Header">
    <w:name w:val="header"/>
    <w:basedOn w:val="Normal"/>
    <w:rsid w:val="00023680"/>
    <w:pPr>
      <w:tabs>
        <w:tab w:val="center" w:pos="4153"/>
        <w:tab w:val="right" w:pos="8306"/>
      </w:tabs>
    </w:pPr>
  </w:style>
  <w:style w:type="paragraph" w:styleId="Footer">
    <w:name w:val="footer"/>
    <w:basedOn w:val="Normal"/>
    <w:rsid w:val="00023680"/>
    <w:pPr>
      <w:tabs>
        <w:tab w:val="center" w:pos="4153"/>
        <w:tab w:val="right" w:pos="8306"/>
      </w:tabs>
    </w:pPr>
  </w:style>
  <w:style w:type="character" w:styleId="PageNumber">
    <w:name w:val="page number"/>
    <w:basedOn w:val="DefaultParagraphFont"/>
    <w:rsid w:val="00023680"/>
  </w:style>
  <w:style w:type="table" w:styleId="TableGrid">
    <w:name w:val="Table Grid"/>
    <w:basedOn w:val="TableNormal"/>
    <w:uiPriority w:val="59"/>
    <w:rsid w:val="00023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rsid w:val="00023680"/>
    <w:pPr>
      <w:spacing w:before="30" w:after="30"/>
    </w:pPr>
  </w:style>
  <w:style w:type="paragraph" w:styleId="TOC1">
    <w:name w:val="toc 1"/>
    <w:basedOn w:val="Normal"/>
    <w:next w:val="Normal"/>
    <w:autoRedefine/>
    <w:uiPriority w:val="39"/>
    <w:rsid w:val="00413F06"/>
  </w:style>
  <w:style w:type="paragraph" w:styleId="TOC2">
    <w:name w:val="toc 2"/>
    <w:basedOn w:val="Normal"/>
    <w:next w:val="Normal"/>
    <w:autoRedefine/>
    <w:uiPriority w:val="39"/>
    <w:rsid w:val="000420BB"/>
    <w:pPr>
      <w:tabs>
        <w:tab w:val="left" w:pos="900"/>
        <w:tab w:val="right" w:leader="dot" w:pos="8296"/>
      </w:tabs>
    </w:pPr>
  </w:style>
  <w:style w:type="paragraph" w:styleId="TOC3">
    <w:name w:val="toc 3"/>
    <w:basedOn w:val="Normal"/>
    <w:next w:val="Normal"/>
    <w:autoRedefine/>
    <w:uiPriority w:val="39"/>
    <w:rsid w:val="006019FB"/>
    <w:pPr>
      <w:tabs>
        <w:tab w:val="left" w:pos="900"/>
        <w:tab w:val="right" w:leader="dot" w:pos="8296"/>
      </w:tabs>
    </w:pPr>
  </w:style>
  <w:style w:type="character" w:styleId="Hyperlink">
    <w:name w:val="Hyperlink"/>
    <w:uiPriority w:val="99"/>
    <w:rsid w:val="00413F06"/>
    <w:rPr>
      <w:color w:val="0000FF"/>
      <w:u w:val="single"/>
    </w:rPr>
  </w:style>
  <w:style w:type="paragraph" w:customStyle="1" w:styleId="Annex">
    <w:name w:val="Annex"/>
    <w:basedOn w:val="Normal"/>
    <w:next w:val="NumberedPara"/>
    <w:rsid w:val="00C14ECE"/>
    <w:pPr>
      <w:jc w:val="center"/>
    </w:pPr>
    <w:rPr>
      <w:b/>
      <w:sz w:val="40"/>
    </w:rPr>
  </w:style>
  <w:style w:type="paragraph" w:customStyle="1" w:styleId="KeyPoint">
    <w:name w:val="Key Point"/>
    <w:basedOn w:val="Normal"/>
    <w:next w:val="NumberedPara"/>
    <w:rsid w:val="00FF4A89"/>
    <w:pPr>
      <w:numPr>
        <w:numId w:val="6"/>
      </w:numPr>
    </w:pPr>
    <w:rPr>
      <w:b/>
      <w:i/>
      <w:color w:val="99CC00"/>
    </w:rPr>
  </w:style>
  <w:style w:type="paragraph" w:styleId="Caption">
    <w:name w:val="caption"/>
    <w:basedOn w:val="Normal"/>
    <w:next w:val="Normal"/>
    <w:qFormat/>
    <w:rsid w:val="00B27E08"/>
    <w:pPr>
      <w:keepNext/>
      <w:jc w:val="center"/>
    </w:pPr>
    <w:rPr>
      <w:b/>
      <w:bCs/>
      <w:szCs w:val="20"/>
    </w:rPr>
  </w:style>
  <w:style w:type="paragraph" w:styleId="TableofFigures">
    <w:name w:val="table of figures"/>
    <w:basedOn w:val="Normal"/>
    <w:next w:val="Normal"/>
    <w:uiPriority w:val="99"/>
    <w:rsid w:val="00FF4A89"/>
  </w:style>
  <w:style w:type="paragraph" w:styleId="FootnoteText">
    <w:name w:val="footnote text"/>
    <w:aliases w:val="single space"/>
    <w:basedOn w:val="Normal"/>
    <w:link w:val="FootnoteTextChar"/>
    <w:semiHidden/>
    <w:rsid w:val="00FF4A89"/>
    <w:rPr>
      <w:sz w:val="20"/>
      <w:szCs w:val="20"/>
    </w:rPr>
  </w:style>
  <w:style w:type="character" w:styleId="FootnoteReference">
    <w:name w:val="footnote reference"/>
    <w:semiHidden/>
    <w:rsid w:val="00FF4A89"/>
    <w:rPr>
      <w:vertAlign w:val="superscript"/>
    </w:rPr>
  </w:style>
  <w:style w:type="paragraph" w:styleId="NoSpacing">
    <w:name w:val="No Spacing"/>
    <w:link w:val="NoSpacingChar"/>
    <w:rsid w:val="00C84109"/>
    <w:rPr>
      <w:rFonts w:ascii="Calibri" w:eastAsia="Calibri" w:hAnsi="Calibri"/>
      <w:sz w:val="22"/>
      <w:szCs w:val="22"/>
    </w:rPr>
  </w:style>
  <w:style w:type="character" w:customStyle="1" w:styleId="NoSpacingChar">
    <w:name w:val="No Spacing Char"/>
    <w:link w:val="NoSpacing"/>
    <w:rsid w:val="00C84109"/>
    <w:rPr>
      <w:rFonts w:ascii="Calibri" w:eastAsia="Calibri" w:hAnsi="Calibri"/>
      <w:sz w:val="22"/>
      <w:szCs w:val="22"/>
      <w:lang w:val="en-US" w:eastAsia="en-US" w:bidi="ar-SA"/>
    </w:rPr>
  </w:style>
  <w:style w:type="paragraph" w:customStyle="1" w:styleId="Default">
    <w:name w:val="Default"/>
    <w:rsid w:val="00C84109"/>
    <w:pPr>
      <w:autoSpaceDE w:val="0"/>
      <w:autoSpaceDN w:val="0"/>
      <w:adjustRightInd w:val="0"/>
    </w:pPr>
    <w:rPr>
      <w:rFonts w:ascii="Calibri" w:hAnsi="Calibri" w:cs="Calibri"/>
      <w:color w:val="000000"/>
      <w:sz w:val="24"/>
      <w:szCs w:val="24"/>
    </w:rPr>
  </w:style>
  <w:style w:type="character" w:customStyle="1" w:styleId="FootnoteTextChar">
    <w:name w:val="Footnote Text Char"/>
    <w:aliases w:val="single space Char"/>
    <w:link w:val="FootnoteText"/>
    <w:semiHidden/>
    <w:rsid w:val="00C84109"/>
    <w:rPr>
      <w:rFonts w:ascii="Tahoma" w:hAnsi="Tahoma"/>
      <w:lang w:val="en-GB" w:eastAsia="en-GB" w:bidi="ar-SA"/>
    </w:rPr>
  </w:style>
  <w:style w:type="character" w:customStyle="1" w:styleId="Heading5Char">
    <w:name w:val="Heading 5 Char"/>
    <w:link w:val="Heading5"/>
    <w:rsid w:val="00AB109D"/>
    <w:rPr>
      <w:rFonts w:ascii="Calibri" w:hAnsi="Calibri"/>
      <w:b/>
      <w:bCs/>
      <w:i/>
      <w:iCs/>
      <w:sz w:val="26"/>
      <w:szCs w:val="26"/>
    </w:rPr>
  </w:style>
  <w:style w:type="character" w:customStyle="1" w:styleId="Heading6Char">
    <w:name w:val="Heading 6 Char"/>
    <w:link w:val="Heading6"/>
    <w:rsid w:val="00AB109D"/>
    <w:rPr>
      <w:b/>
      <w:bCs/>
      <w:sz w:val="22"/>
      <w:szCs w:val="22"/>
    </w:rPr>
  </w:style>
  <w:style w:type="character" w:customStyle="1" w:styleId="Heading7Char">
    <w:name w:val="Heading 7 Char"/>
    <w:link w:val="Heading7"/>
    <w:rsid w:val="00AB109D"/>
    <w:rPr>
      <w:szCs w:val="24"/>
    </w:rPr>
  </w:style>
  <w:style w:type="character" w:customStyle="1" w:styleId="Heading8Char">
    <w:name w:val="Heading 8 Char"/>
    <w:link w:val="Heading8"/>
    <w:rsid w:val="00AB109D"/>
    <w:rPr>
      <w:i/>
      <w:iCs/>
      <w:szCs w:val="24"/>
    </w:rPr>
  </w:style>
  <w:style w:type="character" w:customStyle="1" w:styleId="Heading9Char">
    <w:name w:val="Heading 9 Char"/>
    <w:link w:val="Heading9"/>
    <w:rsid w:val="00AB109D"/>
    <w:rPr>
      <w:rFonts w:ascii="Arial" w:hAnsi="Arial" w:cs="Arial"/>
      <w:sz w:val="22"/>
      <w:szCs w:val="22"/>
    </w:rPr>
  </w:style>
  <w:style w:type="paragraph" w:customStyle="1" w:styleId="Recommendation">
    <w:name w:val="Recommendation"/>
    <w:basedOn w:val="Normal"/>
    <w:rsid w:val="00AB109D"/>
    <w:pPr>
      <w:keepLines/>
      <w:numPr>
        <w:numId w:val="7"/>
      </w:numPr>
      <w:shd w:val="clear" w:color="auto" w:fill="FFFFFF"/>
      <w:tabs>
        <w:tab w:val="left" w:pos="2268"/>
      </w:tabs>
      <w:spacing w:before="240"/>
    </w:pPr>
    <w:rPr>
      <w:b/>
      <w:i/>
      <w:kern w:val="18"/>
      <w:szCs w:val="22"/>
      <w:lang w:eastAsia="en-US"/>
    </w:rPr>
  </w:style>
  <w:style w:type="character" w:customStyle="1" w:styleId="Heading4Char">
    <w:name w:val="Heading 4 Char"/>
    <w:link w:val="Heading4"/>
    <w:rsid w:val="005934E7"/>
    <w:rPr>
      <w:rFonts w:ascii="Tahoma" w:hAnsi="Tahoma"/>
      <w:b/>
      <w:bCs/>
      <w:sz w:val="22"/>
      <w:szCs w:val="28"/>
    </w:rPr>
  </w:style>
  <w:style w:type="paragraph" w:customStyle="1" w:styleId="IndentedNumber">
    <w:name w:val="Indented Number"/>
    <w:basedOn w:val="Normal"/>
    <w:rsid w:val="00AB109D"/>
    <w:pPr>
      <w:numPr>
        <w:numId w:val="8"/>
      </w:numPr>
    </w:pPr>
    <w:rPr>
      <w:rFonts w:ascii="Calibri" w:hAnsi="Calibri"/>
    </w:rPr>
  </w:style>
  <w:style w:type="paragraph" w:customStyle="1" w:styleId="StyleCaptionCentered">
    <w:name w:val="Style Caption + Centered"/>
    <w:basedOn w:val="Caption"/>
    <w:rsid w:val="009E6369"/>
  </w:style>
  <w:style w:type="paragraph" w:styleId="BalloonText">
    <w:name w:val="Balloon Text"/>
    <w:basedOn w:val="Normal"/>
    <w:semiHidden/>
    <w:rsid w:val="009618E2"/>
    <w:rPr>
      <w:rFonts w:cs="Tahoma"/>
      <w:sz w:val="16"/>
      <w:szCs w:val="16"/>
    </w:rPr>
  </w:style>
  <w:style w:type="paragraph" w:customStyle="1" w:styleId="StyleLeaderLimeRight">
    <w:name w:val="Style Leader + Lime Right"/>
    <w:basedOn w:val="Leader"/>
    <w:rsid w:val="00BD1A53"/>
    <w:pPr>
      <w:jc w:val="right"/>
    </w:pPr>
    <w:rPr>
      <w:bCs/>
      <w:color w:val="758453"/>
      <w:szCs w:val="20"/>
    </w:rPr>
  </w:style>
  <w:style w:type="character" w:styleId="SubtleEmphasis">
    <w:name w:val="Subtle Emphasis"/>
    <w:uiPriority w:val="19"/>
    <w:rsid w:val="00B27E08"/>
    <w:rPr>
      <w:i/>
      <w:iCs/>
      <w:color w:val="404040"/>
    </w:rPr>
  </w:style>
  <w:style w:type="paragraph" w:customStyle="1" w:styleId="TOCHeader">
    <w:name w:val="TOC Header"/>
    <w:basedOn w:val="Leader"/>
    <w:link w:val="TOCHeaderChar"/>
    <w:qFormat/>
    <w:rsid w:val="00B27E08"/>
  </w:style>
  <w:style w:type="paragraph" w:styleId="ListParagraph">
    <w:name w:val="List Paragraph"/>
    <w:basedOn w:val="Normal"/>
    <w:uiPriority w:val="34"/>
    <w:qFormat/>
    <w:rsid w:val="00E33CF1"/>
    <w:pPr>
      <w:ind w:left="720"/>
    </w:pPr>
  </w:style>
  <w:style w:type="character" w:customStyle="1" w:styleId="LeaderChar">
    <w:name w:val="Leader Char"/>
    <w:link w:val="Leader"/>
    <w:rsid w:val="00B27E08"/>
    <w:rPr>
      <w:rFonts w:ascii="Tahoma" w:hAnsi="Tahoma"/>
      <w:b/>
      <w:sz w:val="40"/>
      <w:szCs w:val="24"/>
    </w:rPr>
  </w:style>
  <w:style w:type="character" w:customStyle="1" w:styleId="TOCHeaderChar">
    <w:name w:val="TOC Header Char"/>
    <w:basedOn w:val="LeaderChar"/>
    <w:link w:val="TOCHeader"/>
    <w:rsid w:val="00B27E08"/>
    <w:rPr>
      <w:rFonts w:ascii="Tahoma" w:hAnsi="Tahoma"/>
      <w:b/>
      <w:sz w:val="40"/>
      <w:szCs w:val="24"/>
    </w:rPr>
  </w:style>
  <w:style w:type="paragraph" w:styleId="NormalWeb">
    <w:name w:val="Normal (Web)"/>
    <w:basedOn w:val="Normal"/>
    <w:uiPriority w:val="99"/>
    <w:unhideWhenUsed/>
    <w:rsid w:val="00267DBD"/>
    <w:pPr>
      <w:spacing w:before="100" w:beforeAutospacing="1" w:after="100" w:afterAutospacing="1"/>
    </w:pPr>
    <w:rPr>
      <w:rFonts w:ascii="Times New Roman" w:hAnsi="Times New Roman"/>
      <w:sz w:val="24"/>
      <w:lang w:val="en-US" w:eastAsia="en-US"/>
    </w:rPr>
  </w:style>
  <w:style w:type="paragraph" w:styleId="TOCHeading">
    <w:name w:val="TOC Heading"/>
    <w:basedOn w:val="Heading1"/>
    <w:next w:val="Normal"/>
    <w:uiPriority w:val="39"/>
    <w:semiHidden/>
    <w:unhideWhenUsed/>
    <w:qFormat/>
    <w:rsid w:val="0061021E"/>
    <w:pPr>
      <w:keepLines/>
      <w:pageBreakBefore w:val="0"/>
      <w:numPr>
        <w:numId w:val="0"/>
      </w:numPr>
      <w:spacing w:before="480" w:after="0" w:line="276" w:lineRule="auto"/>
      <w:outlineLvl w:val="9"/>
    </w:pPr>
    <w:rPr>
      <w:rFonts w:ascii="Cambria" w:hAnsi="Cambria" w:cs="Times New Roman"/>
      <w:color w:val="365F91"/>
      <w:kern w:val="0"/>
      <w:sz w:val="28"/>
      <w:szCs w:val="28"/>
      <w:lang w:val="en-US" w:eastAsia="en-US"/>
    </w:rPr>
  </w:style>
  <w:style w:type="character" w:styleId="CommentReference">
    <w:name w:val="annotation reference"/>
    <w:rsid w:val="00B4586B"/>
    <w:rPr>
      <w:sz w:val="16"/>
      <w:szCs w:val="16"/>
    </w:rPr>
  </w:style>
  <w:style w:type="paragraph" w:styleId="CommentText">
    <w:name w:val="annotation text"/>
    <w:basedOn w:val="Normal"/>
    <w:link w:val="CommentTextChar"/>
    <w:rsid w:val="00B4586B"/>
    <w:rPr>
      <w:sz w:val="20"/>
      <w:szCs w:val="20"/>
    </w:rPr>
  </w:style>
  <w:style w:type="character" w:customStyle="1" w:styleId="CommentTextChar">
    <w:name w:val="Comment Text Char"/>
    <w:link w:val="CommentText"/>
    <w:rsid w:val="00B4586B"/>
    <w:rPr>
      <w:rFonts w:ascii="Tahoma" w:hAnsi="Tahoma"/>
      <w:lang w:val="en-GB" w:eastAsia="en-GB"/>
    </w:rPr>
  </w:style>
  <w:style w:type="paragraph" w:styleId="CommentSubject">
    <w:name w:val="annotation subject"/>
    <w:basedOn w:val="CommentText"/>
    <w:next w:val="CommentText"/>
    <w:link w:val="CommentSubjectChar"/>
    <w:rsid w:val="00B4586B"/>
    <w:rPr>
      <w:b/>
      <w:bCs/>
    </w:rPr>
  </w:style>
  <w:style w:type="character" w:customStyle="1" w:styleId="CommentSubjectChar">
    <w:name w:val="Comment Subject Char"/>
    <w:link w:val="CommentSubject"/>
    <w:rsid w:val="00B4586B"/>
    <w:rPr>
      <w:rFonts w:ascii="Tahoma" w:hAnsi="Tahoma"/>
      <w:b/>
      <w:bCs/>
      <w:lang w:val="en-GB" w:eastAsia="en-GB"/>
    </w:rPr>
  </w:style>
  <w:style w:type="character" w:customStyle="1" w:styleId="Heading1Char">
    <w:name w:val="Heading 1 Char"/>
    <w:link w:val="Heading1"/>
    <w:rsid w:val="00B109E9"/>
    <w:rPr>
      <w:rFonts w:ascii="Tahoma" w:hAnsi="Tahoma" w:cs="Arial"/>
      <w:b/>
      <w:bCs/>
      <w:color w:val="2E74B5"/>
      <w:kern w:val="32"/>
      <w:sz w:val="40"/>
      <w:szCs w:val="32"/>
      <w:lang w:val="en-GB" w:eastAsia="en-GB"/>
    </w:rPr>
  </w:style>
  <w:style w:type="table" w:customStyle="1" w:styleId="GridTable21">
    <w:name w:val="Grid Table 21"/>
    <w:basedOn w:val="TableNormal"/>
    <w:uiPriority w:val="47"/>
    <w:rsid w:val="00A00D4F"/>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eContemporary">
    <w:name w:val="Table Contemporary"/>
    <w:basedOn w:val="TableNormal"/>
    <w:rsid w:val="00775544"/>
    <w:pPr>
      <w:spacing w:before="120" w:after="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GridTable5Dark-Accent1">
    <w:name w:val="Grid Table 5 Dark Accent 1"/>
    <w:basedOn w:val="TableNormal"/>
    <w:uiPriority w:val="50"/>
    <w:rsid w:val="00D03D75"/>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Strong">
    <w:name w:val="Strong"/>
    <w:basedOn w:val="DefaultParagraphFont"/>
    <w:uiPriority w:val="22"/>
    <w:qFormat/>
    <w:rsid w:val="0065503D"/>
    <w:rPr>
      <w:b/>
      <w:bCs/>
    </w:rPr>
  </w:style>
  <w:style w:type="character" w:customStyle="1" w:styleId="markedcontent">
    <w:name w:val="markedcontent"/>
    <w:basedOn w:val="DefaultParagraphFont"/>
    <w:rsid w:val="00F520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16478">
      <w:bodyDiv w:val="1"/>
      <w:marLeft w:val="0"/>
      <w:marRight w:val="0"/>
      <w:marTop w:val="0"/>
      <w:marBottom w:val="0"/>
      <w:divBdr>
        <w:top w:val="none" w:sz="0" w:space="0" w:color="auto"/>
        <w:left w:val="none" w:sz="0" w:space="0" w:color="auto"/>
        <w:bottom w:val="none" w:sz="0" w:space="0" w:color="auto"/>
        <w:right w:val="none" w:sz="0" w:space="0" w:color="auto"/>
      </w:divBdr>
    </w:div>
    <w:div w:id="69667047">
      <w:bodyDiv w:val="1"/>
      <w:marLeft w:val="0"/>
      <w:marRight w:val="0"/>
      <w:marTop w:val="0"/>
      <w:marBottom w:val="0"/>
      <w:divBdr>
        <w:top w:val="none" w:sz="0" w:space="0" w:color="auto"/>
        <w:left w:val="none" w:sz="0" w:space="0" w:color="auto"/>
        <w:bottom w:val="none" w:sz="0" w:space="0" w:color="auto"/>
        <w:right w:val="none" w:sz="0" w:space="0" w:color="auto"/>
      </w:divBdr>
    </w:div>
    <w:div w:id="215893987">
      <w:bodyDiv w:val="1"/>
      <w:marLeft w:val="0"/>
      <w:marRight w:val="0"/>
      <w:marTop w:val="0"/>
      <w:marBottom w:val="0"/>
      <w:divBdr>
        <w:top w:val="none" w:sz="0" w:space="0" w:color="auto"/>
        <w:left w:val="none" w:sz="0" w:space="0" w:color="auto"/>
        <w:bottom w:val="none" w:sz="0" w:space="0" w:color="auto"/>
        <w:right w:val="none" w:sz="0" w:space="0" w:color="auto"/>
      </w:divBdr>
      <w:divsChild>
        <w:div w:id="894390895">
          <w:marLeft w:val="0"/>
          <w:marRight w:val="0"/>
          <w:marTop w:val="0"/>
          <w:marBottom w:val="0"/>
          <w:divBdr>
            <w:top w:val="none" w:sz="0" w:space="0" w:color="auto"/>
            <w:left w:val="none" w:sz="0" w:space="0" w:color="auto"/>
            <w:bottom w:val="none" w:sz="0" w:space="0" w:color="auto"/>
            <w:right w:val="none" w:sz="0" w:space="0" w:color="auto"/>
          </w:divBdr>
          <w:divsChild>
            <w:div w:id="1178539395">
              <w:marLeft w:val="0"/>
              <w:marRight w:val="0"/>
              <w:marTop w:val="0"/>
              <w:marBottom w:val="0"/>
              <w:divBdr>
                <w:top w:val="none" w:sz="0" w:space="0" w:color="auto"/>
                <w:left w:val="none" w:sz="0" w:space="0" w:color="auto"/>
                <w:bottom w:val="none" w:sz="0" w:space="0" w:color="auto"/>
                <w:right w:val="none" w:sz="0" w:space="0" w:color="auto"/>
              </w:divBdr>
            </w:div>
            <w:div w:id="117252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248896">
      <w:bodyDiv w:val="1"/>
      <w:marLeft w:val="0"/>
      <w:marRight w:val="0"/>
      <w:marTop w:val="0"/>
      <w:marBottom w:val="0"/>
      <w:divBdr>
        <w:top w:val="none" w:sz="0" w:space="0" w:color="auto"/>
        <w:left w:val="none" w:sz="0" w:space="0" w:color="auto"/>
        <w:bottom w:val="none" w:sz="0" w:space="0" w:color="auto"/>
        <w:right w:val="none" w:sz="0" w:space="0" w:color="auto"/>
      </w:divBdr>
    </w:div>
    <w:div w:id="295455929">
      <w:bodyDiv w:val="1"/>
      <w:marLeft w:val="0"/>
      <w:marRight w:val="0"/>
      <w:marTop w:val="0"/>
      <w:marBottom w:val="0"/>
      <w:divBdr>
        <w:top w:val="none" w:sz="0" w:space="0" w:color="auto"/>
        <w:left w:val="none" w:sz="0" w:space="0" w:color="auto"/>
        <w:bottom w:val="none" w:sz="0" w:space="0" w:color="auto"/>
        <w:right w:val="none" w:sz="0" w:space="0" w:color="auto"/>
      </w:divBdr>
    </w:div>
    <w:div w:id="459687315">
      <w:bodyDiv w:val="1"/>
      <w:marLeft w:val="0"/>
      <w:marRight w:val="0"/>
      <w:marTop w:val="0"/>
      <w:marBottom w:val="0"/>
      <w:divBdr>
        <w:top w:val="none" w:sz="0" w:space="0" w:color="auto"/>
        <w:left w:val="none" w:sz="0" w:space="0" w:color="auto"/>
        <w:bottom w:val="none" w:sz="0" w:space="0" w:color="auto"/>
        <w:right w:val="none" w:sz="0" w:space="0" w:color="auto"/>
      </w:divBdr>
    </w:div>
    <w:div w:id="487212402">
      <w:bodyDiv w:val="1"/>
      <w:marLeft w:val="0"/>
      <w:marRight w:val="0"/>
      <w:marTop w:val="0"/>
      <w:marBottom w:val="0"/>
      <w:divBdr>
        <w:top w:val="none" w:sz="0" w:space="0" w:color="auto"/>
        <w:left w:val="none" w:sz="0" w:space="0" w:color="auto"/>
        <w:bottom w:val="none" w:sz="0" w:space="0" w:color="auto"/>
        <w:right w:val="none" w:sz="0" w:space="0" w:color="auto"/>
      </w:divBdr>
    </w:div>
    <w:div w:id="560288396">
      <w:bodyDiv w:val="1"/>
      <w:marLeft w:val="0"/>
      <w:marRight w:val="0"/>
      <w:marTop w:val="0"/>
      <w:marBottom w:val="0"/>
      <w:divBdr>
        <w:top w:val="none" w:sz="0" w:space="0" w:color="auto"/>
        <w:left w:val="none" w:sz="0" w:space="0" w:color="auto"/>
        <w:bottom w:val="none" w:sz="0" w:space="0" w:color="auto"/>
        <w:right w:val="none" w:sz="0" w:space="0" w:color="auto"/>
      </w:divBdr>
    </w:div>
    <w:div w:id="614799447">
      <w:bodyDiv w:val="1"/>
      <w:marLeft w:val="0"/>
      <w:marRight w:val="0"/>
      <w:marTop w:val="0"/>
      <w:marBottom w:val="0"/>
      <w:divBdr>
        <w:top w:val="none" w:sz="0" w:space="0" w:color="auto"/>
        <w:left w:val="none" w:sz="0" w:space="0" w:color="auto"/>
        <w:bottom w:val="none" w:sz="0" w:space="0" w:color="auto"/>
        <w:right w:val="none" w:sz="0" w:space="0" w:color="auto"/>
      </w:divBdr>
    </w:div>
    <w:div w:id="736173673">
      <w:bodyDiv w:val="1"/>
      <w:marLeft w:val="0"/>
      <w:marRight w:val="0"/>
      <w:marTop w:val="0"/>
      <w:marBottom w:val="0"/>
      <w:divBdr>
        <w:top w:val="none" w:sz="0" w:space="0" w:color="auto"/>
        <w:left w:val="none" w:sz="0" w:space="0" w:color="auto"/>
        <w:bottom w:val="none" w:sz="0" w:space="0" w:color="auto"/>
        <w:right w:val="none" w:sz="0" w:space="0" w:color="auto"/>
      </w:divBdr>
    </w:div>
    <w:div w:id="880753337">
      <w:bodyDiv w:val="1"/>
      <w:marLeft w:val="0"/>
      <w:marRight w:val="0"/>
      <w:marTop w:val="0"/>
      <w:marBottom w:val="0"/>
      <w:divBdr>
        <w:top w:val="none" w:sz="0" w:space="0" w:color="auto"/>
        <w:left w:val="none" w:sz="0" w:space="0" w:color="auto"/>
        <w:bottom w:val="none" w:sz="0" w:space="0" w:color="auto"/>
        <w:right w:val="none" w:sz="0" w:space="0" w:color="auto"/>
      </w:divBdr>
    </w:div>
    <w:div w:id="947347331">
      <w:bodyDiv w:val="1"/>
      <w:marLeft w:val="0"/>
      <w:marRight w:val="0"/>
      <w:marTop w:val="0"/>
      <w:marBottom w:val="0"/>
      <w:divBdr>
        <w:top w:val="none" w:sz="0" w:space="0" w:color="auto"/>
        <w:left w:val="none" w:sz="0" w:space="0" w:color="auto"/>
        <w:bottom w:val="none" w:sz="0" w:space="0" w:color="auto"/>
        <w:right w:val="none" w:sz="0" w:space="0" w:color="auto"/>
      </w:divBdr>
    </w:div>
    <w:div w:id="962271322">
      <w:bodyDiv w:val="1"/>
      <w:marLeft w:val="0"/>
      <w:marRight w:val="0"/>
      <w:marTop w:val="0"/>
      <w:marBottom w:val="0"/>
      <w:divBdr>
        <w:top w:val="none" w:sz="0" w:space="0" w:color="auto"/>
        <w:left w:val="none" w:sz="0" w:space="0" w:color="auto"/>
        <w:bottom w:val="none" w:sz="0" w:space="0" w:color="auto"/>
        <w:right w:val="none" w:sz="0" w:space="0" w:color="auto"/>
      </w:divBdr>
    </w:div>
    <w:div w:id="1048071338">
      <w:bodyDiv w:val="1"/>
      <w:marLeft w:val="0"/>
      <w:marRight w:val="0"/>
      <w:marTop w:val="0"/>
      <w:marBottom w:val="0"/>
      <w:divBdr>
        <w:top w:val="none" w:sz="0" w:space="0" w:color="auto"/>
        <w:left w:val="none" w:sz="0" w:space="0" w:color="auto"/>
        <w:bottom w:val="none" w:sz="0" w:space="0" w:color="auto"/>
        <w:right w:val="none" w:sz="0" w:space="0" w:color="auto"/>
      </w:divBdr>
    </w:div>
    <w:div w:id="1056973136">
      <w:bodyDiv w:val="1"/>
      <w:marLeft w:val="0"/>
      <w:marRight w:val="0"/>
      <w:marTop w:val="0"/>
      <w:marBottom w:val="0"/>
      <w:divBdr>
        <w:top w:val="none" w:sz="0" w:space="0" w:color="auto"/>
        <w:left w:val="none" w:sz="0" w:space="0" w:color="auto"/>
        <w:bottom w:val="none" w:sz="0" w:space="0" w:color="auto"/>
        <w:right w:val="none" w:sz="0" w:space="0" w:color="auto"/>
      </w:divBdr>
    </w:div>
    <w:div w:id="1364674302">
      <w:bodyDiv w:val="1"/>
      <w:marLeft w:val="0"/>
      <w:marRight w:val="0"/>
      <w:marTop w:val="0"/>
      <w:marBottom w:val="0"/>
      <w:divBdr>
        <w:top w:val="none" w:sz="0" w:space="0" w:color="auto"/>
        <w:left w:val="none" w:sz="0" w:space="0" w:color="auto"/>
        <w:bottom w:val="none" w:sz="0" w:space="0" w:color="auto"/>
        <w:right w:val="none" w:sz="0" w:space="0" w:color="auto"/>
      </w:divBdr>
    </w:div>
    <w:div w:id="1425685178">
      <w:bodyDiv w:val="1"/>
      <w:marLeft w:val="0"/>
      <w:marRight w:val="0"/>
      <w:marTop w:val="0"/>
      <w:marBottom w:val="0"/>
      <w:divBdr>
        <w:top w:val="none" w:sz="0" w:space="0" w:color="auto"/>
        <w:left w:val="none" w:sz="0" w:space="0" w:color="auto"/>
        <w:bottom w:val="none" w:sz="0" w:space="0" w:color="auto"/>
        <w:right w:val="none" w:sz="0" w:space="0" w:color="auto"/>
      </w:divBdr>
    </w:div>
    <w:div w:id="1625690771">
      <w:bodyDiv w:val="1"/>
      <w:marLeft w:val="0"/>
      <w:marRight w:val="0"/>
      <w:marTop w:val="0"/>
      <w:marBottom w:val="0"/>
      <w:divBdr>
        <w:top w:val="none" w:sz="0" w:space="0" w:color="auto"/>
        <w:left w:val="none" w:sz="0" w:space="0" w:color="auto"/>
        <w:bottom w:val="none" w:sz="0" w:space="0" w:color="auto"/>
        <w:right w:val="none" w:sz="0" w:space="0" w:color="auto"/>
      </w:divBdr>
    </w:div>
    <w:div w:id="1690251758">
      <w:bodyDiv w:val="1"/>
      <w:marLeft w:val="0"/>
      <w:marRight w:val="0"/>
      <w:marTop w:val="0"/>
      <w:marBottom w:val="0"/>
      <w:divBdr>
        <w:top w:val="none" w:sz="0" w:space="0" w:color="auto"/>
        <w:left w:val="none" w:sz="0" w:space="0" w:color="auto"/>
        <w:bottom w:val="none" w:sz="0" w:space="0" w:color="auto"/>
        <w:right w:val="none" w:sz="0" w:space="0" w:color="auto"/>
      </w:divBdr>
    </w:div>
    <w:div w:id="1702584786">
      <w:bodyDiv w:val="1"/>
      <w:marLeft w:val="0"/>
      <w:marRight w:val="0"/>
      <w:marTop w:val="0"/>
      <w:marBottom w:val="0"/>
      <w:divBdr>
        <w:top w:val="none" w:sz="0" w:space="0" w:color="auto"/>
        <w:left w:val="none" w:sz="0" w:space="0" w:color="auto"/>
        <w:bottom w:val="none" w:sz="0" w:space="0" w:color="auto"/>
        <w:right w:val="none" w:sz="0" w:space="0" w:color="auto"/>
      </w:divBdr>
    </w:div>
    <w:div w:id="1837303296">
      <w:bodyDiv w:val="1"/>
      <w:marLeft w:val="0"/>
      <w:marRight w:val="0"/>
      <w:marTop w:val="0"/>
      <w:marBottom w:val="0"/>
      <w:divBdr>
        <w:top w:val="none" w:sz="0" w:space="0" w:color="auto"/>
        <w:left w:val="none" w:sz="0" w:space="0" w:color="auto"/>
        <w:bottom w:val="none" w:sz="0" w:space="0" w:color="auto"/>
        <w:right w:val="none" w:sz="0" w:space="0" w:color="auto"/>
      </w:divBdr>
    </w:div>
    <w:div w:id="2026204614">
      <w:bodyDiv w:val="1"/>
      <w:marLeft w:val="0"/>
      <w:marRight w:val="0"/>
      <w:marTop w:val="0"/>
      <w:marBottom w:val="0"/>
      <w:divBdr>
        <w:top w:val="none" w:sz="0" w:space="0" w:color="auto"/>
        <w:left w:val="none" w:sz="0" w:space="0" w:color="auto"/>
        <w:bottom w:val="none" w:sz="0" w:space="0" w:color="auto"/>
        <w:right w:val="none" w:sz="0" w:space="0" w:color="auto"/>
      </w:divBdr>
    </w:div>
    <w:div w:id="20801293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Maize" TargetMode="External"/><Relationship Id="rId21" Type="http://schemas.openxmlformats.org/officeDocument/2006/relationships/hyperlink" Target="https://en.wikipedia.org/wiki/Coffee" TargetMode="External"/><Relationship Id="rId42" Type="http://schemas.openxmlformats.org/officeDocument/2006/relationships/image" Target="media/image10.emf"/><Relationship Id="rId47" Type="http://schemas.openxmlformats.org/officeDocument/2006/relationships/image" Target="media/image15.emf"/><Relationship Id="rId63" Type="http://schemas.openxmlformats.org/officeDocument/2006/relationships/image" Target="media/image27.emf"/><Relationship Id="rId68" Type="http://schemas.openxmlformats.org/officeDocument/2006/relationships/image" Target="media/image32.emf"/><Relationship Id="rId16" Type="http://schemas.openxmlformats.org/officeDocument/2006/relationships/header" Target="header5.xml"/><Relationship Id="rId11" Type="http://schemas.openxmlformats.org/officeDocument/2006/relationships/footer" Target="footer1.xml"/><Relationship Id="rId24" Type="http://schemas.openxmlformats.org/officeDocument/2006/relationships/hyperlink" Target="https://en.wikipedia.org/wiki/Cashew" TargetMode="External"/><Relationship Id="rId32" Type="http://schemas.openxmlformats.org/officeDocument/2006/relationships/hyperlink" Target="https://en.wikipedia.org/wiki/Limestone" TargetMode="External"/><Relationship Id="rId37" Type="http://schemas.openxmlformats.org/officeDocument/2006/relationships/image" Target="media/image5.emf"/><Relationship Id="rId40" Type="http://schemas.openxmlformats.org/officeDocument/2006/relationships/image" Target="media/image8.emf"/><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image" Target="media/image22.emf"/><Relationship Id="rId66" Type="http://schemas.openxmlformats.org/officeDocument/2006/relationships/image" Target="media/image30.emf"/><Relationship Id="rId74" Type="http://schemas.openxmlformats.org/officeDocument/2006/relationships/image" Target="media/image38.emf"/><Relationship Id="rId5" Type="http://schemas.openxmlformats.org/officeDocument/2006/relationships/webSettings" Target="webSettings.xml"/><Relationship Id="rId61" Type="http://schemas.openxmlformats.org/officeDocument/2006/relationships/image" Target="media/image25.emf"/><Relationship Id="rId1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hyperlink" Target="https://en.wikipedia.org/wiki/Cocoa_bean" TargetMode="External"/><Relationship Id="rId27" Type="http://schemas.openxmlformats.org/officeDocument/2006/relationships/hyperlink" Target="https://en.wikipedia.org/wiki/Cassava" TargetMode="External"/><Relationship Id="rId30" Type="http://schemas.openxmlformats.org/officeDocument/2006/relationships/hyperlink" Target="https://en.wikipedia.org/wiki/Melon" TargetMode="External"/><Relationship Id="rId35" Type="http://schemas.openxmlformats.org/officeDocument/2006/relationships/hyperlink" Target="https://en.wikipedia.org/wiki/Tin" TargetMode="External"/><Relationship Id="rId43" Type="http://schemas.openxmlformats.org/officeDocument/2006/relationships/image" Target="media/image11.emf"/><Relationship Id="rId48" Type="http://schemas.openxmlformats.org/officeDocument/2006/relationships/header" Target="header7.xml"/><Relationship Id="rId56" Type="http://schemas.openxmlformats.org/officeDocument/2006/relationships/image" Target="media/image20.emf"/><Relationship Id="rId64" Type="http://schemas.openxmlformats.org/officeDocument/2006/relationships/image" Target="media/image28.emf"/><Relationship Id="rId69" Type="http://schemas.openxmlformats.org/officeDocument/2006/relationships/image" Target="media/image33.emf"/><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9.xml"/><Relationship Id="rId72"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en.wikipedia.org/wiki/Bambara_groundnut" TargetMode="External"/><Relationship Id="rId33" Type="http://schemas.openxmlformats.org/officeDocument/2006/relationships/hyperlink" Target="https://en.wikipedia.org/wiki/Iron" TargetMode="External"/><Relationship Id="rId38" Type="http://schemas.openxmlformats.org/officeDocument/2006/relationships/image" Target="media/image6.emf"/><Relationship Id="rId46" Type="http://schemas.openxmlformats.org/officeDocument/2006/relationships/image" Target="media/image14.emf"/><Relationship Id="rId59" Type="http://schemas.openxmlformats.org/officeDocument/2006/relationships/image" Target="media/image23.emf"/><Relationship Id="rId67" Type="http://schemas.openxmlformats.org/officeDocument/2006/relationships/image" Target="media/image31.emf"/><Relationship Id="rId20" Type="http://schemas.openxmlformats.org/officeDocument/2006/relationships/hyperlink" Target="https://en.wikipedia.org/wiki/Crop" TargetMode="External"/><Relationship Id="rId41" Type="http://schemas.openxmlformats.org/officeDocument/2006/relationships/image" Target="media/image9.emf"/><Relationship Id="rId54" Type="http://schemas.openxmlformats.org/officeDocument/2006/relationships/image" Target="media/image18.emf"/><Relationship Id="rId62" Type="http://schemas.openxmlformats.org/officeDocument/2006/relationships/image" Target="media/image26.emf"/><Relationship Id="rId70" Type="http://schemas.openxmlformats.org/officeDocument/2006/relationships/image" Target="media/image34.emf"/><Relationship Id="rId75"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en.wikipedia.org/wiki/Palm_oil" TargetMode="External"/><Relationship Id="rId28" Type="http://schemas.openxmlformats.org/officeDocument/2006/relationships/hyperlink" Target="https://en.wikipedia.org/wiki/Yam_(vegetable)" TargetMode="External"/><Relationship Id="rId36" Type="http://schemas.openxmlformats.org/officeDocument/2006/relationships/image" Target="media/image4.emf"/><Relationship Id="rId49" Type="http://schemas.openxmlformats.org/officeDocument/2006/relationships/header" Target="header8.xml"/><Relationship Id="rId57" Type="http://schemas.openxmlformats.org/officeDocument/2006/relationships/image" Target="media/image21.emf"/><Relationship Id="rId10" Type="http://schemas.openxmlformats.org/officeDocument/2006/relationships/header" Target="header2.xml"/><Relationship Id="rId31" Type="http://schemas.openxmlformats.org/officeDocument/2006/relationships/hyperlink" Target="https://en.wikipedia.org/wiki/Coal" TargetMode="External"/><Relationship Id="rId44" Type="http://schemas.openxmlformats.org/officeDocument/2006/relationships/image" Target="media/image12.emf"/><Relationship Id="rId52" Type="http://schemas.openxmlformats.org/officeDocument/2006/relationships/image" Target="media/image16.emf"/><Relationship Id="rId60" Type="http://schemas.openxmlformats.org/officeDocument/2006/relationships/image" Target="media/image24.emf"/><Relationship Id="rId65" Type="http://schemas.openxmlformats.org/officeDocument/2006/relationships/image" Target="media/image29.emf"/><Relationship Id="rId73" Type="http://schemas.openxmlformats.org/officeDocument/2006/relationships/image" Target="media/image37.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7.emf"/><Relationship Id="rId34" Type="http://schemas.openxmlformats.org/officeDocument/2006/relationships/hyperlink" Target="https://en.wikipedia.org/wiki/Petroleum" TargetMode="External"/><Relationship Id="rId50" Type="http://schemas.openxmlformats.org/officeDocument/2006/relationships/footer" Target="footer5.xml"/><Relationship Id="rId55" Type="http://schemas.openxmlformats.org/officeDocument/2006/relationships/image" Target="media/image19.emf"/><Relationship Id="rId76" Type="http://schemas.openxmlformats.org/officeDocument/2006/relationships/image" Target="media/image40.emf"/><Relationship Id="rId7" Type="http://schemas.openxmlformats.org/officeDocument/2006/relationships/endnotes" Target="endnotes.xml"/><Relationship Id="rId71" Type="http://schemas.openxmlformats.org/officeDocument/2006/relationships/image" Target="media/image35.emf"/><Relationship Id="rId2" Type="http://schemas.openxmlformats.org/officeDocument/2006/relationships/numbering" Target="numbering.xml"/><Relationship Id="rId29" Type="http://schemas.openxmlformats.org/officeDocument/2006/relationships/hyperlink" Target="https://en.wikipedia.org/wiki/Ri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5C258-C2CF-4D41-9E12-F7D7E91F0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10888</Words>
  <Characters>62063</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Yobe State Government</vt:lpstr>
    </vt:vector>
  </TitlesOfParts>
  <Company>Hewlett-Packard</Company>
  <LinksUpToDate>false</LinksUpToDate>
  <CharactersWithSpaces>72806</CharactersWithSpaces>
  <SharedDoc>false</SharedDoc>
  <HLinks>
    <vt:vector size="330" baseType="variant">
      <vt:variant>
        <vt:i4>1507387</vt:i4>
      </vt:variant>
      <vt:variant>
        <vt:i4>332</vt:i4>
      </vt:variant>
      <vt:variant>
        <vt:i4>0</vt:i4>
      </vt:variant>
      <vt:variant>
        <vt:i4>5</vt:i4>
      </vt:variant>
      <vt:variant>
        <vt:lpwstr/>
      </vt:variant>
      <vt:variant>
        <vt:lpwstr>_Toc518042233</vt:lpwstr>
      </vt:variant>
      <vt:variant>
        <vt:i4>1507387</vt:i4>
      </vt:variant>
      <vt:variant>
        <vt:i4>326</vt:i4>
      </vt:variant>
      <vt:variant>
        <vt:i4>0</vt:i4>
      </vt:variant>
      <vt:variant>
        <vt:i4>5</vt:i4>
      </vt:variant>
      <vt:variant>
        <vt:lpwstr/>
      </vt:variant>
      <vt:variant>
        <vt:lpwstr>_Toc518042232</vt:lpwstr>
      </vt:variant>
      <vt:variant>
        <vt:i4>1507387</vt:i4>
      </vt:variant>
      <vt:variant>
        <vt:i4>320</vt:i4>
      </vt:variant>
      <vt:variant>
        <vt:i4>0</vt:i4>
      </vt:variant>
      <vt:variant>
        <vt:i4>5</vt:i4>
      </vt:variant>
      <vt:variant>
        <vt:lpwstr/>
      </vt:variant>
      <vt:variant>
        <vt:lpwstr>_Toc518042231</vt:lpwstr>
      </vt:variant>
      <vt:variant>
        <vt:i4>1507387</vt:i4>
      </vt:variant>
      <vt:variant>
        <vt:i4>314</vt:i4>
      </vt:variant>
      <vt:variant>
        <vt:i4>0</vt:i4>
      </vt:variant>
      <vt:variant>
        <vt:i4>5</vt:i4>
      </vt:variant>
      <vt:variant>
        <vt:lpwstr/>
      </vt:variant>
      <vt:variant>
        <vt:lpwstr>_Toc518042230</vt:lpwstr>
      </vt:variant>
      <vt:variant>
        <vt:i4>1441851</vt:i4>
      </vt:variant>
      <vt:variant>
        <vt:i4>308</vt:i4>
      </vt:variant>
      <vt:variant>
        <vt:i4>0</vt:i4>
      </vt:variant>
      <vt:variant>
        <vt:i4>5</vt:i4>
      </vt:variant>
      <vt:variant>
        <vt:lpwstr/>
      </vt:variant>
      <vt:variant>
        <vt:lpwstr>_Toc518042229</vt:lpwstr>
      </vt:variant>
      <vt:variant>
        <vt:i4>1441851</vt:i4>
      </vt:variant>
      <vt:variant>
        <vt:i4>302</vt:i4>
      </vt:variant>
      <vt:variant>
        <vt:i4>0</vt:i4>
      </vt:variant>
      <vt:variant>
        <vt:i4>5</vt:i4>
      </vt:variant>
      <vt:variant>
        <vt:lpwstr/>
      </vt:variant>
      <vt:variant>
        <vt:lpwstr>_Toc518042228</vt:lpwstr>
      </vt:variant>
      <vt:variant>
        <vt:i4>1441851</vt:i4>
      </vt:variant>
      <vt:variant>
        <vt:i4>296</vt:i4>
      </vt:variant>
      <vt:variant>
        <vt:i4>0</vt:i4>
      </vt:variant>
      <vt:variant>
        <vt:i4>5</vt:i4>
      </vt:variant>
      <vt:variant>
        <vt:lpwstr/>
      </vt:variant>
      <vt:variant>
        <vt:lpwstr>_Toc518042227</vt:lpwstr>
      </vt:variant>
      <vt:variant>
        <vt:i4>1441851</vt:i4>
      </vt:variant>
      <vt:variant>
        <vt:i4>290</vt:i4>
      </vt:variant>
      <vt:variant>
        <vt:i4>0</vt:i4>
      </vt:variant>
      <vt:variant>
        <vt:i4>5</vt:i4>
      </vt:variant>
      <vt:variant>
        <vt:lpwstr/>
      </vt:variant>
      <vt:variant>
        <vt:lpwstr>_Toc518042226</vt:lpwstr>
      </vt:variant>
      <vt:variant>
        <vt:i4>1441851</vt:i4>
      </vt:variant>
      <vt:variant>
        <vt:i4>284</vt:i4>
      </vt:variant>
      <vt:variant>
        <vt:i4>0</vt:i4>
      </vt:variant>
      <vt:variant>
        <vt:i4>5</vt:i4>
      </vt:variant>
      <vt:variant>
        <vt:lpwstr/>
      </vt:variant>
      <vt:variant>
        <vt:lpwstr>_Toc518042225</vt:lpwstr>
      </vt:variant>
      <vt:variant>
        <vt:i4>1441851</vt:i4>
      </vt:variant>
      <vt:variant>
        <vt:i4>278</vt:i4>
      </vt:variant>
      <vt:variant>
        <vt:i4>0</vt:i4>
      </vt:variant>
      <vt:variant>
        <vt:i4>5</vt:i4>
      </vt:variant>
      <vt:variant>
        <vt:lpwstr/>
      </vt:variant>
      <vt:variant>
        <vt:lpwstr>_Toc518042224</vt:lpwstr>
      </vt:variant>
      <vt:variant>
        <vt:i4>1441851</vt:i4>
      </vt:variant>
      <vt:variant>
        <vt:i4>272</vt:i4>
      </vt:variant>
      <vt:variant>
        <vt:i4>0</vt:i4>
      </vt:variant>
      <vt:variant>
        <vt:i4>5</vt:i4>
      </vt:variant>
      <vt:variant>
        <vt:lpwstr/>
      </vt:variant>
      <vt:variant>
        <vt:lpwstr>_Toc518042223</vt:lpwstr>
      </vt:variant>
      <vt:variant>
        <vt:i4>1441851</vt:i4>
      </vt:variant>
      <vt:variant>
        <vt:i4>266</vt:i4>
      </vt:variant>
      <vt:variant>
        <vt:i4>0</vt:i4>
      </vt:variant>
      <vt:variant>
        <vt:i4>5</vt:i4>
      </vt:variant>
      <vt:variant>
        <vt:lpwstr/>
      </vt:variant>
      <vt:variant>
        <vt:lpwstr>_Toc518042222</vt:lpwstr>
      </vt:variant>
      <vt:variant>
        <vt:i4>1441851</vt:i4>
      </vt:variant>
      <vt:variant>
        <vt:i4>260</vt:i4>
      </vt:variant>
      <vt:variant>
        <vt:i4>0</vt:i4>
      </vt:variant>
      <vt:variant>
        <vt:i4>5</vt:i4>
      </vt:variant>
      <vt:variant>
        <vt:lpwstr/>
      </vt:variant>
      <vt:variant>
        <vt:lpwstr>_Toc518042221</vt:lpwstr>
      </vt:variant>
      <vt:variant>
        <vt:i4>1441851</vt:i4>
      </vt:variant>
      <vt:variant>
        <vt:i4>254</vt:i4>
      </vt:variant>
      <vt:variant>
        <vt:i4>0</vt:i4>
      </vt:variant>
      <vt:variant>
        <vt:i4>5</vt:i4>
      </vt:variant>
      <vt:variant>
        <vt:lpwstr/>
      </vt:variant>
      <vt:variant>
        <vt:lpwstr>_Toc518042220</vt:lpwstr>
      </vt:variant>
      <vt:variant>
        <vt:i4>1376315</vt:i4>
      </vt:variant>
      <vt:variant>
        <vt:i4>248</vt:i4>
      </vt:variant>
      <vt:variant>
        <vt:i4>0</vt:i4>
      </vt:variant>
      <vt:variant>
        <vt:i4>5</vt:i4>
      </vt:variant>
      <vt:variant>
        <vt:lpwstr/>
      </vt:variant>
      <vt:variant>
        <vt:lpwstr>_Toc518042219</vt:lpwstr>
      </vt:variant>
      <vt:variant>
        <vt:i4>1376315</vt:i4>
      </vt:variant>
      <vt:variant>
        <vt:i4>242</vt:i4>
      </vt:variant>
      <vt:variant>
        <vt:i4>0</vt:i4>
      </vt:variant>
      <vt:variant>
        <vt:i4>5</vt:i4>
      </vt:variant>
      <vt:variant>
        <vt:lpwstr/>
      </vt:variant>
      <vt:variant>
        <vt:lpwstr>_Toc518042218</vt:lpwstr>
      </vt:variant>
      <vt:variant>
        <vt:i4>1376315</vt:i4>
      </vt:variant>
      <vt:variant>
        <vt:i4>236</vt:i4>
      </vt:variant>
      <vt:variant>
        <vt:i4>0</vt:i4>
      </vt:variant>
      <vt:variant>
        <vt:i4>5</vt:i4>
      </vt:variant>
      <vt:variant>
        <vt:lpwstr/>
      </vt:variant>
      <vt:variant>
        <vt:lpwstr>_Toc518042217</vt:lpwstr>
      </vt:variant>
      <vt:variant>
        <vt:i4>1376316</vt:i4>
      </vt:variant>
      <vt:variant>
        <vt:i4>227</vt:i4>
      </vt:variant>
      <vt:variant>
        <vt:i4>0</vt:i4>
      </vt:variant>
      <vt:variant>
        <vt:i4>5</vt:i4>
      </vt:variant>
      <vt:variant>
        <vt:lpwstr/>
      </vt:variant>
      <vt:variant>
        <vt:lpwstr>_Toc518461762</vt:lpwstr>
      </vt:variant>
      <vt:variant>
        <vt:i4>1376316</vt:i4>
      </vt:variant>
      <vt:variant>
        <vt:i4>221</vt:i4>
      </vt:variant>
      <vt:variant>
        <vt:i4>0</vt:i4>
      </vt:variant>
      <vt:variant>
        <vt:i4>5</vt:i4>
      </vt:variant>
      <vt:variant>
        <vt:lpwstr/>
      </vt:variant>
      <vt:variant>
        <vt:lpwstr>_Toc518461761</vt:lpwstr>
      </vt:variant>
      <vt:variant>
        <vt:i4>1376316</vt:i4>
      </vt:variant>
      <vt:variant>
        <vt:i4>215</vt:i4>
      </vt:variant>
      <vt:variant>
        <vt:i4>0</vt:i4>
      </vt:variant>
      <vt:variant>
        <vt:i4>5</vt:i4>
      </vt:variant>
      <vt:variant>
        <vt:lpwstr/>
      </vt:variant>
      <vt:variant>
        <vt:lpwstr>_Toc518461760</vt:lpwstr>
      </vt:variant>
      <vt:variant>
        <vt:i4>1441852</vt:i4>
      </vt:variant>
      <vt:variant>
        <vt:i4>209</vt:i4>
      </vt:variant>
      <vt:variant>
        <vt:i4>0</vt:i4>
      </vt:variant>
      <vt:variant>
        <vt:i4>5</vt:i4>
      </vt:variant>
      <vt:variant>
        <vt:lpwstr/>
      </vt:variant>
      <vt:variant>
        <vt:lpwstr>_Toc518461759</vt:lpwstr>
      </vt:variant>
      <vt:variant>
        <vt:i4>1441852</vt:i4>
      </vt:variant>
      <vt:variant>
        <vt:i4>203</vt:i4>
      </vt:variant>
      <vt:variant>
        <vt:i4>0</vt:i4>
      </vt:variant>
      <vt:variant>
        <vt:i4>5</vt:i4>
      </vt:variant>
      <vt:variant>
        <vt:lpwstr/>
      </vt:variant>
      <vt:variant>
        <vt:lpwstr>_Toc518461758</vt:lpwstr>
      </vt:variant>
      <vt:variant>
        <vt:i4>1441852</vt:i4>
      </vt:variant>
      <vt:variant>
        <vt:i4>197</vt:i4>
      </vt:variant>
      <vt:variant>
        <vt:i4>0</vt:i4>
      </vt:variant>
      <vt:variant>
        <vt:i4>5</vt:i4>
      </vt:variant>
      <vt:variant>
        <vt:lpwstr/>
      </vt:variant>
      <vt:variant>
        <vt:lpwstr>_Toc518461757</vt:lpwstr>
      </vt:variant>
      <vt:variant>
        <vt:i4>1441852</vt:i4>
      </vt:variant>
      <vt:variant>
        <vt:i4>191</vt:i4>
      </vt:variant>
      <vt:variant>
        <vt:i4>0</vt:i4>
      </vt:variant>
      <vt:variant>
        <vt:i4>5</vt:i4>
      </vt:variant>
      <vt:variant>
        <vt:lpwstr/>
      </vt:variant>
      <vt:variant>
        <vt:lpwstr>_Toc518461756</vt:lpwstr>
      </vt:variant>
      <vt:variant>
        <vt:i4>1441852</vt:i4>
      </vt:variant>
      <vt:variant>
        <vt:i4>185</vt:i4>
      </vt:variant>
      <vt:variant>
        <vt:i4>0</vt:i4>
      </vt:variant>
      <vt:variant>
        <vt:i4>5</vt:i4>
      </vt:variant>
      <vt:variant>
        <vt:lpwstr/>
      </vt:variant>
      <vt:variant>
        <vt:lpwstr>_Toc518461755</vt:lpwstr>
      </vt:variant>
      <vt:variant>
        <vt:i4>1441852</vt:i4>
      </vt:variant>
      <vt:variant>
        <vt:i4>179</vt:i4>
      </vt:variant>
      <vt:variant>
        <vt:i4>0</vt:i4>
      </vt:variant>
      <vt:variant>
        <vt:i4>5</vt:i4>
      </vt:variant>
      <vt:variant>
        <vt:lpwstr/>
      </vt:variant>
      <vt:variant>
        <vt:lpwstr>_Toc518461754</vt:lpwstr>
      </vt:variant>
      <vt:variant>
        <vt:i4>1179704</vt:i4>
      </vt:variant>
      <vt:variant>
        <vt:i4>170</vt:i4>
      </vt:variant>
      <vt:variant>
        <vt:i4>0</vt:i4>
      </vt:variant>
      <vt:variant>
        <vt:i4>5</vt:i4>
      </vt:variant>
      <vt:variant>
        <vt:lpwstr/>
      </vt:variant>
      <vt:variant>
        <vt:lpwstr>_Toc518042166</vt:lpwstr>
      </vt:variant>
      <vt:variant>
        <vt:i4>1179704</vt:i4>
      </vt:variant>
      <vt:variant>
        <vt:i4>164</vt:i4>
      </vt:variant>
      <vt:variant>
        <vt:i4>0</vt:i4>
      </vt:variant>
      <vt:variant>
        <vt:i4>5</vt:i4>
      </vt:variant>
      <vt:variant>
        <vt:lpwstr/>
      </vt:variant>
      <vt:variant>
        <vt:lpwstr>_Toc518042165</vt:lpwstr>
      </vt:variant>
      <vt:variant>
        <vt:i4>1179704</vt:i4>
      </vt:variant>
      <vt:variant>
        <vt:i4>158</vt:i4>
      </vt:variant>
      <vt:variant>
        <vt:i4>0</vt:i4>
      </vt:variant>
      <vt:variant>
        <vt:i4>5</vt:i4>
      </vt:variant>
      <vt:variant>
        <vt:lpwstr/>
      </vt:variant>
      <vt:variant>
        <vt:lpwstr>_Toc518042163</vt:lpwstr>
      </vt:variant>
      <vt:variant>
        <vt:i4>1179704</vt:i4>
      </vt:variant>
      <vt:variant>
        <vt:i4>152</vt:i4>
      </vt:variant>
      <vt:variant>
        <vt:i4>0</vt:i4>
      </vt:variant>
      <vt:variant>
        <vt:i4>5</vt:i4>
      </vt:variant>
      <vt:variant>
        <vt:lpwstr/>
      </vt:variant>
      <vt:variant>
        <vt:lpwstr>_Toc518042162</vt:lpwstr>
      </vt:variant>
      <vt:variant>
        <vt:i4>1179704</vt:i4>
      </vt:variant>
      <vt:variant>
        <vt:i4>146</vt:i4>
      </vt:variant>
      <vt:variant>
        <vt:i4>0</vt:i4>
      </vt:variant>
      <vt:variant>
        <vt:i4>5</vt:i4>
      </vt:variant>
      <vt:variant>
        <vt:lpwstr/>
      </vt:variant>
      <vt:variant>
        <vt:lpwstr>_Toc518042161</vt:lpwstr>
      </vt:variant>
      <vt:variant>
        <vt:i4>1179704</vt:i4>
      </vt:variant>
      <vt:variant>
        <vt:i4>140</vt:i4>
      </vt:variant>
      <vt:variant>
        <vt:i4>0</vt:i4>
      </vt:variant>
      <vt:variant>
        <vt:i4>5</vt:i4>
      </vt:variant>
      <vt:variant>
        <vt:lpwstr/>
      </vt:variant>
      <vt:variant>
        <vt:lpwstr>_Toc518042160</vt:lpwstr>
      </vt:variant>
      <vt:variant>
        <vt:i4>1114168</vt:i4>
      </vt:variant>
      <vt:variant>
        <vt:i4>134</vt:i4>
      </vt:variant>
      <vt:variant>
        <vt:i4>0</vt:i4>
      </vt:variant>
      <vt:variant>
        <vt:i4>5</vt:i4>
      </vt:variant>
      <vt:variant>
        <vt:lpwstr/>
      </vt:variant>
      <vt:variant>
        <vt:lpwstr>_Toc518042159</vt:lpwstr>
      </vt:variant>
      <vt:variant>
        <vt:i4>1114168</vt:i4>
      </vt:variant>
      <vt:variant>
        <vt:i4>128</vt:i4>
      </vt:variant>
      <vt:variant>
        <vt:i4>0</vt:i4>
      </vt:variant>
      <vt:variant>
        <vt:i4>5</vt:i4>
      </vt:variant>
      <vt:variant>
        <vt:lpwstr/>
      </vt:variant>
      <vt:variant>
        <vt:lpwstr>_Toc518042158</vt:lpwstr>
      </vt:variant>
      <vt:variant>
        <vt:i4>1114168</vt:i4>
      </vt:variant>
      <vt:variant>
        <vt:i4>122</vt:i4>
      </vt:variant>
      <vt:variant>
        <vt:i4>0</vt:i4>
      </vt:variant>
      <vt:variant>
        <vt:i4>5</vt:i4>
      </vt:variant>
      <vt:variant>
        <vt:lpwstr/>
      </vt:variant>
      <vt:variant>
        <vt:lpwstr>_Toc518042157</vt:lpwstr>
      </vt:variant>
      <vt:variant>
        <vt:i4>1114168</vt:i4>
      </vt:variant>
      <vt:variant>
        <vt:i4>116</vt:i4>
      </vt:variant>
      <vt:variant>
        <vt:i4>0</vt:i4>
      </vt:variant>
      <vt:variant>
        <vt:i4>5</vt:i4>
      </vt:variant>
      <vt:variant>
        <vt:lpwstr/>
      </vt:variant>
      <vt:variant>
        <vt:lpwstr>_Toc518042156</vt:lpwstr>
      </vt:variant>
      <vt:variant>
        <vt:i4>1114168</vt:i4>
      </vt:variant>
      <vt:variant>
        <vt:i4>110</vt:i4>
      </vt:variant>
      <vt:variant>
        <vt:i4>0</vt:i4>
      </vt:variant>
      <vt:variant>
        <vt:i4>5</vt:i4>
      </vt:variant>
      <vt:variant>
        <vt:lpwstr/>
      </vt:variant>
      <vt:variant>
        <vt:lpwstr>_Toc518042155</vt:lpwstr>
      </vt:variant>
      <vt:variant>
        <vt:i4>1114168</vt:i4>
      </vt:variant>
      <vt:variant>
        <vt:i4>104</vt:i4>
      </vt:variant>
      <vt:variant>
        <vt:i4>0</vt:i4>
      </vt:variant>
      <vt:variant>
        <vt:i4>5</vt:i4>
      </vt:variant>
      <vt:variant>
        <vt:lpwstr/>
      </vt:variant>
      <vt:variant>
        <vt:lpwstr>_Toc518042154</vt:lpwstr>
      </vt:variant>
      <vt:variant>
        <vt:i4>1114168</vt:i4>
      </vt:variant>
      <vt:variant>
        <vt:i4>98</vt:i4>
      </vt:variant>
      <vt:variant>
        <vt:i4>0</vt:i4>
      </vt:variant>
      <vt:variant>
        <vt:i4>5</vt:i4>
      </vt:variant>
      <vt:variant>
        <vt:lpwstr/>
      </vt:variant>
      <vt:variant>
        <vt:lpwstr>_Toc518042153</vt:lpwstr>
      </vt:variant>
      <vt:variant>
        <vt:i4>1114168</vt:i4>
      </vt:variant>
      <vt:variant>
        <vt:i4>92</vt:i4>
      </vt:variant>
      <vt:variant>
        <vt:i4>0</vt:i4>
      </vt:variant>
      <vt:variant>
        <vt:i4>5</vt:i4>
      </vt:variant>
      <vt:variant>
        <vt:lpwstr/>
      </vt:variant>
      <vt:variant>
        <vt:lpwstr>_Toc518042152</vt:lpwstr>
      </vt:variant>
      <vt:variant>
        <vt:i4>1114168</vt:i4>
      </vt:variant>
      <vt:variant>
        <vt:i4>86</vt:i4>
      </vt:variant>
      <vt:variant>
        <vt:i4>0</vt:i4>
      </vt:variant>
      <vt:variant>
        <vt:i4>5</vt:i4>
      </vt:variant>
      <vt:variant>
        <vt:lpwstr/>
      </vt:variant>
      <vt:variant>
        <vt:lpwstr>_Toc518042151</vt:lpwstr>
      </vt:variant>
      <vt:variant>
        <vt:i4>1114168</vt:i4>
      </vt:variant>
      <vt:variant>
        <vt:i4>80</vt:i4>
      </vt:variant>
      <vt:variant>
        <vt:i4>0</vt:i4>
      </vt:variant>
      <vt:variant>
        <vt:i4>5</vt:i4>
      </vt:variant>
      <vt:variant>
        <vt:lpwstr/>
      </vt:variant>
      <vt:variant>
        <vt:lpwstr>_Toc518042150</vt:lpwstr>
      </vt:variant>
      <vt:variant>
        <vt:i4>1048632</vt:i4>
      </vt:variant>
      <vt:variant>
        <vt:i4>74</vt:i4>
      </vt:variant>
      <vt:variant>
        <vt:i4>0</vt:i4>
      </vt:variant>
      <vt:variant>
        <vt:i4>5</vt:i4>
      </vt:variant>
      <vt:variant>
        <vt:lpwstr/>
      </vt:variant>
      <vt:variant>
        <vt:lpwstr>_Toc518042149</vt:lpwstr>
      </vt:variant>
      <vt:variant>
        <vt:i4>1048632</vt:i4>
      </vt:variant>
      <vt:variant>
        <vt:i4>68</vt:i4>
      </vt:variant>
      <vt:variant>
        <vt:i4>0</vt:i4>
      </vt:variant>
      <vt:variant>
        <vt:i4>5</vt:i4>
      </vt:variant>
      <vt:variant>
        <vt:lpwstr/>
      </vt:variant>
      <vt:variant>
        <vt:lpwstr>_Toc518042148</vt:lpwstr>
      </vt:variant>
      <vt:variant>
        <vt:i4>1048632</vt:i4>
      </vt:variant>
      <vt:variant>
        <vt:i4>62</vt:i4>
      </vt:variant>
      <vt:variant>
        <vt:i4>0</vt:i4>
      </vt:variant>
      <vt:variant>
        <vt:i4>5</vt:i4>
      </vt:variant>
      <vt:variant>
        <vt:lpwstr/>
      </vt:variant>
      <vt:variant>
        <vt:lpwstr>_Toc518042147</vt:lpwstr>
      </vt:variant>
      <vt:variant>
        <vt:i4>1048632</vt:i4>
      </vt:variant>
      <vt:variant>
        <vt:i4>56</vt:i4>
      </vt:variant>
      <vt:variant>
        <vt:i4>0</vt:i4>
      </vt:variant>
      <vt:variant>
        <vt:i4>5</vt:i4>
      </vt:variant>
      <vt:variant>
        <vt:lpwstr/>
      </vt:variant>
      <vt:variant>
        <vt:lpwstr>_Toc518042146</vt:lpwstr>
      </vt:variant>
      <vt:variant>
        <vt:i4>1048632</vt:i4>
      </vt:variant>
      <vt:variant>
        <vt:i4>50</vt:i4>
      </vt:variant>
      <vt:variant>
        <vt:i4>0</vt:i4>
      </vt:variant>
      <vt:variant>
        <vt:i4>5</vt:i4>
      </vt:variant>
      <vt:variant>
        <vt:lpwstr/>
      </vt:variant>
      <vt:variant>
        <vt:lpwstr>_Toc518042145</vt:lpwstr>
      </vt:variant>
      <vt:variant>
        <vt:i4>1048632</vt:i4>
      </vt:variant>
      <vt:variant>
        <vt:i4>44</vt:i4>
      </vt:variant>
      <vt:variant>
        <vt:i4>0</vt:i4>
      </vt:variant>
      <vt:variant>
        <vt:i4>5</vt:i4>
      </vt:variant>
      <vt:variant>
        <vt:lpwstr/>
      </vt:variant>
      <vt:variant>
        <vt:lpwstr>_Toc518042144</vt:lpwstr>
      </vt:variant>
      <vt:variant>
        <vt:i4>1048632</vt:i4>
      </vt:variant>
      <vt:variant>
        <vt:i4>38</vt:i4>
      </vt:variant>
      <vt:variant>
        <vt:i4>0</vt:i4>
      </vt:variant>
      <vt:variant>
        <vt:i4>5</vt:i4>
      </vt:variant>
      <vt:variant>
        <vt:lpwstr/>
      </vt:variant>
      <vt:variant>
        <vt:lpwstr>_Toc518042143</vt:lpwstr>
      </vt:variant>
      <vt:variant>
        <vt:i4>1048632</vt:i4>
      </vt:variant>
      <vt:variant>
        <vt:i4>32</vt:i4>
      </vt:variant>
      <vt:variant>
        <vt:i4>0</vt:i4>
      </vt:variant>
      <vt:variant>
        <vt:i4>5</vt:i4>
      </vt:variant>
      <vt:variant>
        <vt:lpwstr/>
      </vt:variant>
      <vt:variant>
        <vt:lpwstr>_Toc518042142</vt:lpwstr>
      </vt:variant>
      <vt:variant>
        <vt:i4>1048632</vt:i4>
      </vt:variant>
      <vt:variant>
        <vt:i4>26</vt:i4>
      </vt:variant>
      <vt:variant>
        <vt:i4>0</vt:i4>
      </vt:variant>
      <vt:variant>
        <vt:i4>5</vt:i4>
      </vt:variant>
      <vt:variant>
        <vt:lpwstr/>
      </vt:variant>
      <vt:variant>
        <vt:lpwstr>_Toc518042141</vt:lpwstr>
      </vt:variant>
      <vt:variant>
        <vt:i4>1048632</vt:i4>
      </vt:variant>
      <vt:variant>
        <vt:i4>20</vt:i4>
      </vt:variant>
      <vt:variant>
        <vt:i4>0</vt:i4>
      </vt:variant>
      <vt:variant>
        <vt:i4>5</vt:i4>
      </vt:variant>
      <vt:variant>
        <vt:lpwstr/>
      </vt:variant>
      <vt:variant>
        <vt:lpwstr>_Toc518042140</vt:lpwstr>
      </vt:variant>
      <vt:variant>
        <vt:i4>1507384</vt:i4>
      </vt:variant>
      <vt:variant>
        <vt:i4>14</vt:i4>
      </vt:variant>
      <vt:variant>
        <vt:i4>0</vt:i4>
      </vt:variant>
      <vt:variant>
        <vt:i4>5</vt:i4>
      </vt:variant>
      <vt:variant>
        <vt:lpwstr/>
      </vt:variant>
      <vt:variant>
        <vt:lpwstr>_Toc518042139</vt:lpwstr>
      </vt:variant>
      <vt:variant>
        <vt:i4>1507384</vt:i4>
      </vt:variant>
      <vt:variant>
        <vt:i4>8</vt:i4>
      </vt:variant>
      <vt:variant>
        <vt:i4>0</vt:i4>
      </vt:variant>
      <vt:variant>
        <vt:i4>5</vt:i4>
      </vt:variant>
      <vt:variant>
        <vt:lpwstr/>
      </vt:variant>
      <vt:variant>
        <vt:lpwstr>_Toc518042138</vt:lpwstr>
      </vt:variant>
      <vt:variant>
        <vt:i4>1507384</vt:i4>
      </vt:variant>
      <vt:variant>
        <vt:i4>2</vt:i4>
      </vt:variant>
      <vt:variant>
        <vt:i4>0</vt:i4>
      </vt:variant>
      <vt:variant>
        <vt:i4>5</vt:i4>
      </vt:variant>
      <vt:variant>
        <vt:lpwstr/>
      </vt:variant>
      <vt:variant>
        <vt:lpwstr>_Toc518042137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Yobe State Government</dc:title>
  <dc:subject/>
  <dc:creator>Chris Work Big LPT</dc:creator>
  <cp:keywords/>
  <cp:lastModifiedBy>samuelolajide26@yahoo.com</cp:lastModifiedBy>
  <cp:revision>2</cp:revision>
  <cp:lastPrinted>2017-08-29T08:17:00Z</cp:lastPrinted>
  <dcterms:created xsi:type="dcterms:W3CDTF">2022-07-13T10:15:00Z</dcterms:created>
  <dcterms:modified xsi:type="dcterms:W3CDTF">2022-07-13T10:15:00Z</dcterms:modified>
</cp:coreProperties>
</file>